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52B694" w14:textId="64C4E580" w:rsidR="00C14252" w:rsidRDefault="00C14252" w:rsidP="00E339D3">
      <w:pPr>
        <w:spacing w:line="360" w:lineRule="exact"/>
        <w:jc w:val="center"/>
        <w:rPr>
          <w:rFonts w:ascii="Times New Roman" w:eastAsia="標楷體" w:hAnsi="Times New Roman" w:cs="Times New Roman"/>
          <w:b/>
          <w:bCs/>
          <w:sz w:val="28"/>
          <w:szCs w:val="28"/>
        </w:rPr>
      </w:pPr>
      <w:r w:rsidRPr="008D4286">
        <w:rPr>
          <w:rFonts w:ascii="Times New Roman" w:eastAsia="標楷體" w:hAnsi="Times New Roman" w:cs="Times New Roman"/>
          <w:b/>
          <w:bCs/>
          <w:sz w:val="28"/>
          <w:szCs w:val="28"/>
        </w:rPr>
        <w:t>保險業防制洗錢及打擊資恐最佳實務指引</w:t>
      </w:r>
    </w:p>
    <w:p w14:paraId="73BE306F" w14:textId="02595416" w:rsidR="00C14252" w:rsidRDefault="00C14252" w:rsidP="006662EF">
      <w:pPr>
        <w:spacing w:line="360" w:lineRule="exact"/>
        <w:jc w:val="center"/>
        <w:rPr>
          <w:rFonts w:ascii="Times New Roman" w:eastAsia="標楷體" w:hAnsi="Times New Roman" w:cs="Times New Roman"/>
          <w:b/>
          <w:bCs/>
          <w:sz w:val="28"/>
          <w:szCs w:val="28"/>
        </w:rPr>
      </w:pPr>
      <w:r w:rsidRPr="008D4286">
        <w:rPr>
          <w:rFonts w:ascii="Times New Roman" w:eastAsia="標楷體" w:hAnsi="Times New Roman" w:cs="Times New Roman"/>
          <w:b/>
          <w:bCs/>
          <w:sz w:val="28"/>
          <w:szCs w:val="28"/>
        </w:rPr>
        <w:t>（主題：稅務犯罪洗錢風險防制之實務建議做法）</w:t>
      </w:r>
      <w:r w:rsidRPr="007219D1">
        <w:rPr>
          <w:rFonts w:ascii="Times New Roman" w:eastAsia="標楷體" w:hAnsi="Times New Roman" w:cs="Times New Roman" w:hint="eastAsia"/>
          <w:b/>
          <w:bCs/>
          <w:sz w:val="28"/>
          <w:szCs w:val="28"/>
        </w:rPr>
        <w:t>修正</w:t>
      </w:r>
      <w:r w:rsidR="00CA475F">
        <w:rPr>
          <w:rFonts w:ascii="Times New Roman" w:eastAsia="標楷體" w:hAnsi="Times New Roman" w:cs="Times New Roman" w:hint="eastAsia"/>
          <w:b/>
          <w:bCs/>
          <w:sz w:val="28"/>
          <w:szCs w:val="28"/>
        </w:rPr>
        <w:t>條文</w:t>
      </w:r>
      <w:r w:rsidRPr="007219D1">
        <w:rPr>
          <w:rFonts w:ascii="Times New Roman" w:eastAsia="標楷體" w:hAnsi="Times New Roman" w:cs="Times New Roman" w:hint="eastAsia"/>
          <w:b/>
          <w:bCs/>
          <w:sz w:val="28"/>
          <w:szCs w:val="28"/>
        </w:rPr>
        <w:t>對照表</w:t>
      </w:r>
    </w:p>
    <w:p w14:paraId="06CDD1B2" w14:textId="64258217" w:rsidR="00446635" w:rsidRPr="00446635" w:rsidRDefault="00446635" w:rsidP="00446635">
      <w:pPr>
        <w:spacing w:line="240" w:lineRule="exact"/>
        <w:jc w:val="right"/>
        <w:rPr>
          <w:rFonts w:ascii="Times New Roman" w:eastAsia="標楷體" w:hAnsi="Times New Roman" w:cs="Times New Roman"/>
          <w:sz w:val="20"/>
          <w:szCs w:val="20"/>
        </w:rPr>
      </w:pPr>
      <w:bookmarkStart w:id="0" w:name="_Hlk208409346"/>
      <w:r w:rsidRPr="00446635">
        <w:rPr>
          <w:rFonts w:ascii="Times New Roman" w:eastAsia="標楷體" w:hAnsi="Times New Roman" w:cs="Times New Roman" w:hint="eastAsia"/>
          <w:sz w:val="20"/>
          <w:szCs w:val="20"/>
        </w:rPr>
        <w:t>金融監督管理委員會</w:t>
      </w:r>
      <w:r w:rsidRPr="00446635">
        <w:rPr>
          <w:rFonts w:ascii="Times New Roman" w:eastAsia="標楷體" w:hAnsi="Times New Roman" w:cs="Times New Roman" w:hint="eastAsia"/>
          <w:sz w:val="20"/>
          <w:szCs w:val="20"/>
        </w:rPr>
        <w:t>114</w:t>
      </w:r>
      <w:r w:rsidRPr="00446635">
        <w:rPr>
          <w:rFonts w:ascii="Times New Roman" w:eastAsia="標楷體" w:hAnsi="Times New Roman" w:cs="Times New Roman" w:hint="eastAsia"/>
          <w:sz w:val="20"/>
          <w:szCs w:val="20"/>
        </w:rPr>
        <w:t>年</w:t>
      </w:r>
      <w:r w:rsidRPr="00446635">
        <w:rPr>
          <w:rFonts w:ascii="Times New Roman" w:eastAsia="標楷體" w:hAnsi="Times New Roman" w:cs="Times New Roman" w:hint="eastAsia"/>
          <w:sz w:val="20"/>
          <w:szCs w:val="20"/>
        </w:rPr>
        <w:t>9</w:t>
      </w:r>
      <w:r w:rsidRPr="00446635">
        <w:rPr>
          <w:rFonts w:ascii="Times New Roman" w:eastAsia="標楷體" w:hAnsi="Times New Roman" w:cs="Times New Roman" w:hint="eastAsia"/>
          <w:sz w:val="20"/>
          <w:szCs w:val="20"/>
        </w:rPr>
        <w:t>月</w:t>
      </w:r>
      <w:r w:rsidRPr="00446635">
        <w:rPr>
          <w:rFonts w:ascii="Times New Roman" w:eastAsia="標楷體" w:hAnsi="Times New Roman" w:cs="Times New Roman" w:hint="eastAsia"/>
          <w:sz w:val="20"/>
          <w:szCs w:val="20"/>
        </w:rPr>
        <w:t>10</w:t>
      </w:r>
      <w:r w:rsidRPr="00446635">
        <w:rPr>
          <w:rFonts w:ascii="Times New Roman" w:eastAsia="標楷體" w:hAnsi="Times New Roman" w:cs="Times New Roman" w:hint="eastAsia"/>
          <w:sz w:val="20"/>
          <w:szCs w:val="20"/>
        </w:rPr>
        <w:t>日金管保綜字第</w:t>
      </w:r>
      <w:r w:rsidRPr="00446635">
        <w:rPr>
          <w:rFonts w:ascii="Times New Roman" w:eastAsia="標楷體" w:hAnsi="Times New Roman" w:cs="Times New Roman" w:hint="eastAsia"/>
          <w:sz w:val="20"/>
          <w:szCs w:val="20"/>
        </w:rPr>
        <w:t>1140425045</w:t>
      </w:r>
      <w:r w:rsidRPr="00446635">
        <w:rPr>
          <w:rFonts w:ascii="Times New Roman" w:eastAsia="標楷體" w:hAnsi="Times New Roman" w:cs="Times New Roman" w:hint="eastAsia"/>
          <w:sz w:val="20"/>
          <w:szCs w:val="20"/>
        </w:rPr>
        <w:t>號函</w:t>
      </w:r>
      <w:r>
        <w:rPr>
          <w:rFonts w:ascii="Times New Roman" w:eastAsia="標楷體" w:hAnsi="Times New Roman" w:cs="Times New Roman" w:hint="eastAsia"/>
          <w:sz w:val="20"/>
          <w:szCs w:val="20"/>
        </w:rPr>
        <w:t>洽悉</w:t>
      </w:r>
      <w:bookmarkEnd w:id="0"/>
    </w:p>
    <w:tbl>
      <w:tblPr>
        <w:tblStyle w:val="ae"/>
        <w:tblW w:w="0" w:type="auto"/>
        <w:tblLook w:val="04A0" w:firstRow="1" w:lastRow="0" w:firstColumn="1" w:lastColumn="0" w:noHBand="0" w:noVBand="1"/>
      </w:tblPr>
      <w:tblGrid>
        <w:gridCol w:w="3485"/>
        <w:gridCol w:w="3485"/>
        <w:gridCol w:w="3486"/>
      </w:tblGrid>
      <w:tr w:rsidR="00107561" w14:paraId="36B97E6C" w14:textId="5BD313CC" w:rsidTr="00107561">
        <w:tc>
          <w:tcPr>
            <w:tcW w:w="3485" w:type="dxa"/>
            <w:shd w:val="clear" w:color="auto" w:fill="E8E8E8" w:themeFill="background2"/>
          </w:tcPr>
          <w:p w14:paraId="6254FAEC" w14:textId="583339ED" w:rsidR="00107561" w:rsidRPr="003E22E9" w:rsidRDefault="00107561" w:rsidP="000C19C8">
            <w:pPr>
              <w:jc w:val="center"/>
              <w:rPr>
                <w:rFonts w:ascii="標楷體" w:eastAsia="標楷體" w:hAnsi="標楷體"/>
              </w:rPr>
            </w:pPr>
            <w:r w:rsidRPr="003E22E9">
              <w:rPr>
                <w:rFonts w:ascii="標楷體" w:eastAsia="標楷體" w:hAnsi="標楷體" w:cs="Times New Roman"/>
              </w:rPr>
              <w:t>修正條文</w:t>
            </w:r>
          </w:p>
        </w:tc>
        <w:tc>
          <w:tcPr>
            <w:tcW w:w="3485" w:type="dxa"/>
            <w:shd w:val="clear" w:color="auto" w:fill="E8E8E8" w:themeFill="background2"/>
          </w:tcPr>
          <w:p w14:paraId="712B1F73" w14:textId="0971F570" w:rsidR="00107561" w:rsidRPr="003E22E9" w:rsidRDefault="000F14B6" w:rsidP="000C19C8">
            <w:pPr>
              <w:jc w:val="center"/>
              <w:rPr>
                <w:rFonts w:ascii="標楷體" w:eastAsia="標楷體" w:hAnsi="標楷體"/>
              </w:rPr>
            </w:pPr>
            <w:r>
              <w:rPr>
                <w:rFonts w:ascii="標楷體" w:eastAsia="標楷體" w:hAnsi="標楷體" w:cs="Times New Roman" w:hint="eastAsia"/>
              </w:rPr>
              <w:t>原</w:t>
            </w:r>
            <w:r w:rsidR="00107561" w:rsidRPr="003E22E9">
              <w:rPr>
                <w:rFonts w:ascii="標楷體" w:eastAsia="標楷體" w:hAnsi="標楷體" w:cs="Times New Roman"/>
              </w:rPr>
              <w:t>條文</w:t>
            </w:r>
          </w:p>
        </w:tc>
        <w:tc>
          <w:tcPr>
            <w:tcW w:w="3486" w:type="dxa"/>
            <w:shd w:val="clear" w:color="auto" w:fill="E8E8E8" w:themeFill="background2"/>
          </w:tcPr>
          <w:p w14:paraId="1E627850" w14:textId="03C81AEC" w:rsidR="00107561" w:rsidRPr="003E22E9" w:rsidRDefault="00107561" w:rsidP="000C19C8">
            <w:pPr>
              <w:jc w:val="center"/>
              <w:rPr>
                <w:rFonts w:ascii="標楷體" w:eastAsia="標楷體" w:hAnsi="標楷體"/>
              </w:rPr>
            </w:pPr>
            <w:r w:rsidRPr="00DA4F95">
              <w:rPr>
                <w:rFonts w:ascii="標楷體" w:eastAsia="標楷體" w:hAnsi="標楷體" w:cs="Times New Roman" w:hint="eastAsia"/>
              </w:rPr>
              <w:t>說明</w:t>
            </w:r>
          </w:p>
        </w:tc>
      </w:tr>
      <w:tr w:rsidR="00107561" w14:paraId="02012ED1" w14:textId="09BC01DF" w:rsidTr="00107561">
        <w:tc>
          <w:tcPr>
            <w:tcW w:w="3485" w:type="dxa"/>
          </w:tcPr>
          <w:p w14:paraId="0533C03E" w14:textId="77777777" w:rsidR="00107561" w:rsidRPr="008D4286" w:rsidRDefault="00107561" w:rsidP="000C19C8">
            <w:pPr>
              <w:jc w:val="both"/>
              <w:rPr>
                <w:rFonts w:ascii="標楷體" w:eastAsia="標楷體" w:hAnsi="標楷體"/>
              </w:rPr>
            </w:pPr>
            <w:r w:rsidRPr="008D4286">
              <w:rPr>
                <w:rFonts w:ascii="標楷體" w:eastAsia="標楷體" w:hAnsi="標楷體" w:hint="eastAsia"/>
              </w:rPr>
              <w:t>三、稅務犯罪所得洗錢及資恐風險防制機制</w:t>
            </w:r>
          </w:p>
          <w:p w14:paraId="2D62B72F" w14:textId="77777777" w:rsidR="00107561" w:rsidRPr="008D4286" w:rsidRDefault="00107561" w:rsidP="000C19C8">
            <w:pPr>
              <w:ind w:leftChars="100" w:left="240"/>
              <w:jc w:val="both"/>
              <w:rPr>
                <w:rFonts w:ascii="標楷體" w:eastAsia="標楷體" w:hAnsi="標楷體"/>
              </w:rPr>
            </w:pPr>
            <w:r w:rsidRPr="008D4286">
              <w:rPr>
                <w:rFonts w:ascii="標楷體" w:eastAsia="標楷體" w:hAnsi="標楷體" w:hint="eastAsia"/>
              </w:rPr>
              <w:t>(三)稅務犯罪洗錢風險疑似交易態樣例示：</w:t>
            </w:r>
          </w:p>
          <w:p w14:paraId="3F1A4371" w14:textId="77777777" w:rsidR="00107561" w:rsidRPr="008D4286" w:rsidRDefault="00107561" w:rsidP="000C19C8">
            <w:pPr>
              <w:ind w:leftChars="200" w:left="480"/>
              <w:jc w:val="both"/>
              <w:rPr>
                <w:rFonts w:ascii="標楷體" w:eastAsia="標楷體" w:hAnsi="標楷體"/>
              </w:rPr>
            </w:pPr>
            <w:r w:rsidRPr="008D4286">
              <w:rPr>
                <w:rFonts w:ascii="標楷體" w:eastAsia="標楷體" w:hAnsi="標楷體" w:hint="eastAsia"/>
              </w:rPr>
              <w:t>3.客戶異常行為類</w:t>
            </w:r>
          </w:p>
          <w:p w14:paraId="6D9A16D2" w14:textId="77777777" w:rsidR="00107561" w:rsidRPr="008D4286" w:rsidRDefault="00107561" w:rsidP="000C19C8">
            <w:pPr>
              <w:ind w:leftChars="300" w:left="720"/>
              <w:jc w:val="both"/>
              <w:rPr>
                <w:rFonts w:ascii="標楷體" w:eastAsia="標楷體" w:hAnsi="標楷體"/>
              </w:rPr>
            </w:pPr>
            <w:r w:rsidRPr="008D4286">
              <w:rPr>
                <w:rFonts w:ascii="標楷體" w:eastAsia="標楷體" w:hAnsi="標楷體" w:hint="eastAsia"/>
              </w:rPr>
              <w:t xml:space="preserve">(1)保險公司在履行相關稅務評估作業中，發現客戶疑似有規避納稅義務之情形，如客戶拒絕或刻意隱匿提供保險公司基於國際、國內稅務標準要求之文件或資訊。 </w:t>
            </w:r>
          </w:p>
          <w:p w14:paraId="4B6A6F26" w14:textId="77777777" w:rsidR="00107561" w:rsidRPr="008D4286" w:rsidRDefault="00107561" w:rsidP="000C19C8">
            <w:pPr>
              <w:ind w:leftChars="300" w:left="720"/>
              <w:jc w:val="both"/>
              <w:rPr>
                <w:rFonts w:ascii="標楷體" w:eastAsia="標楷體" w:hAnsi="標楷體"/>
              </w:rPr>
            </w:pPr>
            <w:r w:rsidRPr="008D4286">
              <w:rPr>
                <w:rFonts w:ascii="標楷體" w:eastAsia="標楷體" w:hAnsi="標楷體" w:hint="eastAsia"/>
              </w:rPr>
              <w:t xml:space="preserve">(2)客戶表示進行投保、交易之目的係為對稅務機關隱匿收入、資產之來源或避免遭課徵稅捐。 </w:t>
            </w:r>
          </w:p>
          <w:p w14:paraId="4D36DE32" w14:textId="40E5CD4D" w:rsidR="00107561" w:rsidRPr="008D4286" w:rsidRDefault="00107561" w:rsidP="000C19C8">
            <w:pPr>
              <w:ind w:leftChars="300" w:left="720"/>
              <w:jc w:val="both"/>
              <w:rPr>
                <w:rFonts w:ascii="標楷體" w:eastAsia="標楷體" w:hAnsi="標楷體"/>
              </w:rPr>
            </w:pPr>
            <w:r w:rsidRPr="008D4286">
              <w:rPr>
                <w:rFonts w:ascii="標楷體" w:eastAsia="標楷體" w:hAnsi="標楷體" w:hint="eastAsia"/>
              </w:rPr>
              <w:t>(3)</w:t>
            </w:r>
            <w:r w:rsidRPr="00107561">
              <w:rPr>
                <w:rFonts w:ascii="標楷體" w:eastAsia="標楷體" w:hAnsi="標楷體" w:hint="eastAsia"/>
                <w:color w:val="EE0000"/>
                <w:u w:val="single"/>
              </w:rPr>
              <w:t>經公司評估認定客戶</w:t>
            </w:r>
            <w:r w:rsidRPr="008D4286">
              <w:rPr>
                <w:rFonts w:ascii="標楷體" w:eastAsia="標楷體" w:hAnsi="標楷體" w:hint="eastAsia"/>
              </w:rPr>
              <w:t xml:space="preserve">符合實務上死亡人壽保險金依實質課稅原則核課遺產稅案例及其參考特徵（財政部 102 年 1 月 18 日台財稅字第 10200501712 號函），例如：躉繳投保、高齡投保、短期投保、鉅額投保、保險費等於保險金額等。 </w:t>
            </w:r>
          </w:p>
          <w:p w14:paraId="4CF6F264" w14:textId="77777777" w:rsidR="00107561" w:rsidRPr="007219D1" w:rsidRDefault="00107561" w:rsidP="000C19C8">
            <w:pPr>
              <w:ind w:leftChars="300" w:left="720"/>
              <w:jc w:val="both"/>
              <w:rPr>
                <w:b/>
                <w:bCs/>
              </w:rPr>
            </w:pPr>
            <w:r w:rsidRPr="008D4286">
              <w:rPr>
                <w:rFonts w:ascii="標楷體" w:eastAsia="標楷體" w:hAnsi="標楷體" w:hint="eastAsia"/>
              </w:rPr>
              <w:t>(4)保單變更要保人後，新要保人短期內辦理終止契約(如：要保人由父母變更要保人為其子女後，申請終止契約之情形)，且無法提出合理說明者。</w:t>
            </w:r>
          </w:p>
        </w:tc>
        <w:tc>
          <w:tcPr>
            <w:tcW w:w="3485" w:type="dxa"/>
          </w:tcPr>
          <w:p w14:paraId="38BDB215" w14:textId="77777777" w:rsidR="00107561" w:rsidRPr="008D4286" w:rsidRDefault="00107561" w:rsidP="000C19C8">
            <w:pPr>
              <w:jc w:val="both"/>
              <w:rPr>
                <w:rFonts w:ascii="標楷體" w:eastAsia="標楷體" w:hAnsi="標楷體"/>
              </w:rPr>
            </w:pPr>
            <w:r w:rsidRPr="008D4286">
              <w:rPr>
                <w:rFonts w:ascii="標楷體" w:eastAsia="標楷體" w:hAnsi="標楷體" w:hint="eastAsia"/>
              </w:rPr>
              <w:t>三、稅務犯罪所得洗錢及資恐風險防制機制</w:t>
            </w:r>
          </w:p>
          <w:p w14:paraId="60659B9B" w14:textId="77777777" w:rsidR="00107561" w:rsidRPr="008D4286" w:rsidRDefault="00107561" w:rsidP="000C19C8">
            <w:pPr>
              <w:ind w:leftChars="100" w:left="240"/>
              <w:jc w:val="both"/>
              <w:rPr>
                <w:rFonts w:ascii="標楷體" w:eastAsia="標楷體" w:hAnsi="標楷體"/>
              </w:rPr>
            </w:pPr>
            <w:r w:rsidRPr="008D4286">
              <w:rPr>
                <w:rFonts w:ascii="標楷體" w:eastAsia="標楷體" w:hAnsi="標楷體" w:hint="eastAsia"/>
              </w:rPr>
              <w:t>(三)稅務犯罪洗錢風險疑似交易態樣例示：</w:t>
            </w:r>
          </w:p>
          <w:p w14:paraId="350F6A31" w14:textId="77777777" w:rsidR="00107561" w:rsidRPr="008D4286" w:rsidRDefault="00107561" w:rsidP="000C19C8">
            <w:pPr>
              <w:ind w:leftChars="200" w:left="480"/>
              <w:jc w:val="both"/>
              <w:rPr>
                <w:rFonts w:ascii="標楷體" w:eastAsia="標楷體" w:hAnsi="標楷體"/>
              </w:rPr>
            </w:pPr>
            <w:r w:rsidRPr="008D4286">
              <w:rPr>
                <w:rFonts w:ascii="標楷體" w:eastAsia="標楷體" w:hAnsi="標楷體" w:hint="eastAsia"/>
              </w:rPr>
              <w:t>3.客戶異常行為類</w:t>
            </w:r>
          </w:p>
          <w:p w14:paraId="2B69AE52" w14:textId="77777777" w:rsidR="00107561" w:rsidRPr="008D4286" w:rsidRDefault="00107561" w:rsidP="000C19C8">
            <w:pPr>
              <w:ind w:leftChars="300" w:left="720"/>
              <w:jc w:val="both"/>
              <w:rPr>
                <w:rFonts w:ascii="標楷體" w:eastAsia="標楷體" w:hAnsi="標楷體"/>
              </w:rPr>
            </w:pPr>
            <w:r w:rsidRPr="008D4286">
              <w:rPr>
                <w:rFonts w:ascii="標楷體" w:eastAsia="標楷體" w:hAnsi="標楷體" w:hint="eastAsia"/>
              </w:rPr>
              <w:t xml:space="preserve">(1)保險公司在履行相關稅務評估作業中，發現客戶疑似有規避納稅義務之情形，如客戶拒絕或刻意隱匿提供保險公司基於國際、國內稅務標準要求之文件或資訊。 </w:t>
            </w:r>
          </w:p>
          <w:p w14:paraId="1051556F" w14:textId="77777777" w:rsidR="00107561" w:rsidRPr="008D4286" w:rsidRDefault="00107561" w:rsidP="000C19C8">
            <w:pPr>
              <w:ind w:leftChars="300" w:left="720"/>
              <w:jc w:val="both"/>
              <w:rPr>
                <w:rFonts w:ascii="標楷體" w:eastAsia="標楷體" w:hAnsi="標楷體"/>
              </w:rPr>
            </w:pPr>
            <w:r w:rsidRPr="008D4286">
              <w:rPr>
                <w:rFonts w:ascii="標楷體" w:eastAsia="標楷體" w:hAnsi="標楷體" w:hint="eastAsia"/>
              </w:rPr>
              <w:t xml:space="preserve">(2)客戶表示進行投保、交易之目的係為對稅務機關隱匿收入、資產之來源或避免遭課徵稅捐。 </w:t>
            </w:r>
          </w:p>
          <w:p w14:paraId="1B474E68" w14:textId="77777777" w:rsidR="00107561" w:rsidRPr="008D4286" w:rsidRDefault="00107561" w:rsidP="000C19C8">
            <w:pPr>
              <w:ind w:leftChars="300" w:left="720"/>
              <w:jc w:val="both"/>
              <w:rPr>
                <w:rFonts w:ascii="標楷體" w:eastAsia="標楷體" w:hAnsi="標楷體"/>
              </w:rPr>
            </w:pPr>
            <w:r w:rsidRPr="008D4286">
              <w:rPr>
                <w:rFonts w:ascii="標楷體" w:eastAsia="標楷體" w:hAnsi="標楷體" w:hint="eastAsia"/>
              </w:rPr>
              <w:t>(3)</w:t>
            </w:r>
            <w:r w:rsidRPr="00107561">
              <w:rPr>
                <w:rFonts w:ascii="標楷體" w:eastAsia="標楷體" w:hAnsi="標楷體" w:hint="eastAsia"/>
              </w:rPr>
              <w:t>客戶投保時</w:t>
            </w:r>
            <w:r w:rsidRPr="008D4286">
              <w:rPr>
                <w:rFonts w:ascii="標楷體" w:eastAsia="標楷體" w:hAnsi="標楷體" w:hint="eastAsia"/>
              </w:rPr>
              <w:t>符合實務上死亡人壽保險金依實質課稅原則核課遺產稅案例及其參考特徵（財政部 102 年 1 月 18 日台財稅字第 10200501712 號函），例如：躉繳投保、高齡投保、短期投保、鉅額投保、保險費等於保險金額等。</w:t>
            </w:r>
          </w:p>
          <w:p w14:paraId="19979F69" w14:textId="77777777" w:rsidR="00107561" w:rsidRDefault="00107561" w:rsidP="000C19C8">
            <w:pPr>
              <w:ind w:leftChars="300" w:left="720"/>
              <w:jc w:val="both"/>
            </w:pPr>
            <w:r w:rsidRPr="008D4286">
              <w:rPr>
                <w:rFonts w:ascii="標楷體" w:eastAsia="標楷體" w:hAnsi="標楷體" w:hint="eastAsia"/>
              </w:rPr>
              <w:t>(4)保單變更要保人後，新要保人短期內辦理終止契約(如：要保人由父母變更要保人為其子女後，申請終止契約之情形)，且無法提出合理說明者。</w:t>
            </w:r>
          </w:p>
        </w:tc>
        <w:tc>
          <w:tcPr>
            <w:tcW w:w="3486" w:type="dxa"/>
          </w:tcPr>
          <w:p w14:paraId="664CC1BB" w14:textId="089FEE13" w:rsidR="00107561" w:rsidRDefault="00107561" w:rsidP="000C19C8">
            <w:pPr>
              <w:jc w:val="both"/>
              <w:rPr>
                <w:rFonts w:ascii="標楷體" w:eastAsia="標楷體" w:hAnsi="標楷體"/>
              </w:rPr>
            </w:pPr>
            <w:r w:rsidRPr="008D4286">
              <w:rPr>
                <w:rFonts w:ascii="標楷體" w:eastAsia="標楷體" w:hAnsi="標楷體" w:hint="eastAsia"/>
              </w:rPr>
              <w:t>實質課稅原則訂定之目的，是以課徵遺產稅為前提，而遺產稅需待被保險</w:t>
            </w:r>
            <w:r w:rsidR="00E339D3">
              <w:rPr>
                <w:rFonts w:ascii="標楷體" w:eastAsia="標楷體" w:hAnsi="標楷體" w:hint="eastAsia"/>
              </w:rPr>
              <w:t>人</w:t>
            </w:r>
            <w:r w:rsidRPr="008D4286">
              <w:rPr>
                <w:rFonts w:ascii="標楷體" w:eastAsia="標楷體" w:hAnsi="標楷體" w:hint="eastAsia"/>
              </w:rPr>
              <w:t>死亡時才有申報與課徵問題，現行指引以「於投保時」即要進行監控與申報，實無法偵測出有</w:t>
            </w:r>
            <w:r w:rsidR="00E339D3">
              <w:rPr>
                <w:rFonts w:ascii="標楷體" w:eastAsia="標楷體" w:hAnsi="標楷體" w:hint="eastAsia"/>
              </w:rPr>
              <w:t>稅</w:t>
            </w:r>
            <w:r w:rsidRPr="008D4286">
              <w:rPr>
                <w:rFonts w:ascii="標楷體" w:eastAsia="標楷體" w:hAnsi="標楷體" w:hint="eastAsia"/>
              </w:rPr>
              <w:t>務犯罪之情事</w:t>
            </w:r>
            <w:r w:rsidR="004A1DBE">
              <w:rPr>
                <w:rFonts w:ascii="標楷體" w:eastAsia="標楷體" w:hAnsi="標楷體" w:hint="eastAsia"/>
              </w:rPr>
              <w:t>，且公司之業務規模或控管監控各有差異</w:t>
            </w:r>
            <w:r w:rsidRPr="008D4286">
              <w:rPr>
                <w:rFonts w:ascii="標楷體" w:eastAsia="標楷體" w:hAnsi="標楷體" w:hint="eastAsia"/>
              </w:rPr>
              <w:t>，</w:t>
            </w:r>
            <w:r>
              <w:rPr>
                <w:rFonts w:ascii="標楷體" w:eastAsia="標楷體" w:hAnsi="標楷體" w:hint="eastAsia"/>
              </w:rPr>
              <w:t>為提升可疑交易申報之品質，調整文字為「</w:t>
            </w:r>
            <w:r w:rsidRPr="009C1526">
              <w:rPr>
                <w:rFonts w:ascii="標楷體" w:eastAsia="標楷體" w:hAnsi="標楷體" w:hint="eastAsia"/>
              </w:rPr>
              <w:t>經公司評估認定</w:t>
            </w:r>
            <w:r w:rsidR="00E339D3">
              <w:rPr>
                <w:rFonts w:ascii="標楷體" w:eastAsia="標楷體" w:hAnsi="標楷體" w:hint="eastAsia"/>
              </w:rPr>
              <w:t>客戶……</w:t>
            </w:r>
            <w:r>
              <w:rPr>
                <w:rFonts w:ascii="標楷體" w:eastAsia="標楷體" w:hAnsi="標楷體" w:hint="eastAsia"/>
              </w:rPr>
              <w:t>」，應</w:t>
            </w:r>
            <w:r w:rsidR="00E339D3">
              <w:rPr>
                <w:rFonts w:ascii="標楷體" w:eastAsia="標楷體" w:hAnsi="標楷體" w:hint="eastAsia"/>
              </w:rPr>
              <w:t>由各公司</w:t>
            </w:r>
            <w:r>
              <w:rPr>
                <w:rFonts w:ascii="標楷體" w:eastAsia="標楷體" w:hAnsi="標楷體" w:hint="eastAsia"/>
              </w:rPr>
              <w:t>依風險高低選擇評估方法、監控方式及時點。</w:t>
            </w:r>
          </w:p>
          <w:p w14:paraId="2C8D884C" w14:textId="77777777" w:rsidR="00107561" w:rsidRDefault="00107561" w:rsidP="000C19C8">
            <w:pPr>
              <w:jc w:val="both"/>
              <w:rPr>
                <w:rFonts w:ascii="標楷體" w:eastAsia="標楷體" w:hAnsi="標楷體"/>
              </w:rPr>
            </w:pPr>
          </w:p>
          <w:p w14:paraId="4CB29051" w14:textId="77777777" w:rsidR="00107561" w:rsidRDefault="00107561" w:rsidP="000C19C8">
            <w:pPr>
              <w:jc w:val="both"/>
              <w:rPr>
                <w:rFonts w:ascii="標楷體" w:eastAsia="標楷體" w:hAnsi="標楷體"/>
              </w:rPr>
            </w:pPr>
          </w:p>
          <w:p w14:paraId="795762EA" w14:textId="77777777" w:rsidR="00107561" w:rsidRDefault="00107561" w:rsidP="000C19C8">
            <w:pPr>
              <w:jc w:val="both"/>
              <w:rPr>
                <w:rFonts w:ascii="標楷體" w:eastAsia="標楷體" w:hAnsi="標楷體"/>
              </w:rPr>
            </w:pPr>
          </w:p>
          <w:p w14:paraId="287AB600" w14:textId="77777777" w:rsidR="00107561" w:rsidRDefault="00107561" w:rsidP="000C19C8">
            <w:pPr>
              <w:jc w:val="both"/>
              <w:rPr>
                <w:rFonts w:ascii="標楷體" w:eastAsia="標楷體" w:hAnsi="標楷體"/>
              </w:rPr>
            </w:pPr>
          </w:p>
          <w:p w14:paraId="06A4F5BF" w14:textId="77777777" w:rsidR="00107561" w:rsidRDefault="00107561" w:rsidP="000C19C8">
            <w:pPr>
              <w:jc w:val="both"/>
              <w:rPr>
                <w:rFonts w:ascii="標楷體" w:eastAsia="標楷體" w:hAnsi="標楷體"/>
              </w:rPr>
            </w:pPr>
          </w:p>
          <w:p w14:paraId="01744867" w14:textId="77777777" w:rsidR="00107561" w:rsidRDefault="00107561" w:rsidP="000C19C8">
            <w:pPr>
              <w:jc w:val="both"/>
              <w:rPr>
                <w:rFonts w:ascii="標楷體" w:eastAsia="標楷體" w:hAnsi="標楷體"/>
              </w:rPr>
            </w:pPr>
          </w:p>
          <w:p w14:paraId="650A4ABE" w14:textId="77777777" w:rsidR="00107561" w:rsidRDefault="00107561" w:rsidP="000C19C8">
            <w:pPr>
              <w:jc w:val="both"/>
              <w:rPr>
                <w:rFonts w:ascii="標楷體" w:eastAsia="標楷體" w:hAnsi="標楷體"/>
              </w:rPr>
            </w:pPr>
          </w:p>
          <w:p w14:paraId="56E2451F" w14:textId="77777777" w:rsidR="00107561" w:rsidRDefault="00107561" w:rsidP="000C19C8">
            <w:pPr>
              <w:jc w:val="both"/>
              <w:rPr>
                <w:rFonts w:ascii="標楷體" w:eastAsia="標楷體" w:hAnsi="標楷體"/>
              </w:rPr>
            </w:pPr>
          </w:p>
          <w:p w14:paraId="4182A35C" w14:textId="77777777" w:rsidR="00107561" w:rsidRDefault="00107561" w:rsidP="000C19C8">
            <w:pPr>
              <w:jc w:val="both"/>
              <w:rPr>
                <w:rFonts w:ascii="標楷體" w:eastAsia="標楷體" w:hAnsi="標楷體"/>
              </w:rPr>
            </w:pPr>
          </w:p>
          <w:p w14:paraId="4BC1C5E1" w14:textId="77777777" w:rsidR="00107561" w:rsidRDefault="00107561" w:rsidP="000C19C8">
            <w:pPr>
              <w:jc w:val="both"/>
              <w:rPr>
                <w:rFonts w:ascii="標楷體" w:eastAsia="標楷體" w:hAnsi="標楷體"/>
              </w:rPr>
            </w:pPr>
          </w:p>
          <w:p w14:paraId="63D13130" w14:textId="77777777" w:rsidR="00107561" w:rsidRPr="007219D1" w:rsidRDefault="00107561" w:rsidP="000C19C8">
            <w:pPr>
              <w:jc w:val="both"/>
              <w:rPr>
                <w:rFonts w:ascii="Times New Roman" w:eastAsia="標楷體" w:hAnsi="Times New Roman" w:cs="Times New Roman"/>
              </w:rPr>
            </w:pPr>
          </w:p>
        </w:tc>
      </w:tr>
    </w:tbl>
    <w:p w14:paraId="66E7EAD3" w14:textId="2BD61448" w:rsidR="004C668E" w:rsidRDefault="004C668E">
      <w:pPr>
        <w:widowControl/>
      </w:pPr>
    </w:p>
    <w:p w14:paraId="7F77AB1F" w14:textId="634F3000" w:rsidR="004C668E" w:rsidRDefault="004C668E">
      <w:pPr>
        <w:widowControl/>
        <w:rPr>
          <w:rFonts w:ascii="Times New Roman" w:eastAsia="標楷體" w:hAnsi="Times New Roman" w:cs="Times New Roman"/>
          <w:b/>
          <w:bCs/>
          <w:sz w:val="28"/>
          <w:szCs w:val="28"/>
        </w:rPr>
      </w:pPr>
    </w:p>
    <w:sectPr w:rsidR="004C668E" w:rsidSect="00C14252">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8CC4E9" w14:textId="77777777" w:rsidR="0058106F" w:rsidRDefault="0058106F" w:rsidP="00585ABE">
      <w:pPr>
        <w:spacing w:after="0" w:line="240" w:lineRule="auto"/>
      </w:pPr>
      <w:r>
        <w:separator/>
      </w:r>
    </w:p>
  </w:endnote>
  <w:endnote w:type="continuationSeparator" w:id="0">
    <w:p w14:paraId="0F4B6C1B" w14:textId="77777777" w:rsidR="0058106F" w:rsidRDefault="0058106F" w:rsidP="00585A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標楷體">
    <w:altName w:val="DF Kai Shu"/>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63153F" w14:textId="77777777" w:rsidR="0058106F" w:rsidRDefault="0058106F" w:rsidP="00585ABE">
      <w:pPr>
        <w:spacing w:after="0" w:line="240" w:lineRule="auto"/>
      </w:pPr>
      <w:r>
        <w:separator/>
      </w:r>
    </w:p>
  </w:footnote>
  <w:footnote w:type="continuationSeparator" w:id="0">
    <w:p w14:paraId="32264E52" w14:textId="77777777" w:rsidR="0058106F" w:rsidRDefault="0058106F" w:rsidP="00585A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83C09"/>
    <w:multiLevelType w:val="hybridMultilevel"/>
    <w:tmpl w:val="4E941028"/>
    <w:lvl w:ilvl="0" w:tplc="2F9CBF14">
      <w:start w:val="1"/>
      <w:numFmt w:val="decimal"/>
      <w:lvlText w:val="(%1)"/>
      <w:lvlJc w:val="left"/>
      <w:pPr>
        <w:ind w:left="418" w:hanging="360"/>
      </w:pPr>
      <w:rPr>
        <w:rFonts w:ascii="標楷體" w:eastAsia="標楷體" w:hAnsi="標楷體"/>
      </w:rPr>
    </w:lvl>
    <w:lvl w:ilvl="1" w:tplc="04090019">
      <w:start w:val="1"/>
      <w:numFmt w:val="ideographTraditional"/>
      <w:lvlText w:val="%2、"/>
      <w:lvlJc w:val="left"/>
      <w:pPr>
        <w:ind w:left="1018" w:hanging="480"/>
      </w:pPr>
    </w:lvl>
    <w:lvl w:ilvl="2" w:tplc="0409001B">
      <w:start w:val="1"/>
      <w:numFmt w:val="lowerRoman"/>
      <w:lvlText w:val="%3."/>
      <w:lvlJc w:val="right"/>
      <w:pPr>
        <w:ind w:left="1498" w:hanging="480"/>
      </w:pPr>
    </w:lvl>
    <w:lvl w:ilvl="3" w:tplc="0409000F">
      <w:start w:val="1"/>
      <w:numFmt w:val="decimal"/>
      <w:lvlText w:val="%4."/>
      <w:lvlJc w:val="left"/>
      <w:pPr>
        <w:ind w:left="1978" w:hanging="480"/>
      </w:pPr>
    </w:lvl>
    <w:lvl w:ilvl="4" w:tplc="04090019">
      <w:start w:val="1"/>
      <w:numFmt w:val="ideographTraditional"/>
      <w:lvlText w:val="%5、"/>
      <w:lvlJc w:val="left"/>
      <w:pPr>
        <w:ind w:left="2458" w:hanging="480"/>
      </w:pPr>
    </w:lvl>
    <w:lvl w:ilvl="5" w:tplc="0409001B">
      <w:start w:val="1"/>
      <w:numFmt w:val="lowerRoman"/>
      <w:lvlText w:val="%6."/>
      <w:lvlJc w:val="right"/>
      <w:pPr>
        <w:ind w:left="2938" w:hanging="480"/>
      </w:pPr>
    </w:lvl>
    <w:lvl w:ilvl="6" w:tplc="0409000F">
      <w:start w:val="1"/>
      <w:numFmt w:val="decimal"/>
      <w:lvlText w:val="%7."/>
      <w:lvlJc w:val="left"/>
      <w:pPr>
        <w:ind w:left="3418" w:hanging="480"/>
      </w:pPr>
    </w:lvl>
    <w:lvl w:ilvl="7" w:tplc="04090019">
      <w:start w:val="1"/>
      <w:numFmt w:val="ideographTraditional"/>
      <w:lvlText w:val="%8、"/>
      <w:lvlJc w:val="left"/>
      <w:pPr>
        <w:ind w:left="3898" w:hanging="480"/>
      </w:pPr>
    </w:lvl>
    <w:lvl w:ilvl="8" w:tplc="0409001B">
      <w:start w:val="1"/>
      <w:numFmt w:val="lowerRoman"/>
      <w:lvlText w:val="%9."/>
      <w:lvlJc w:val="right"/>
      <w:pPr>
        <w:ind w:left="4378" w:hanging="480"/>
      </w:pPr>
    </w:lvl>
  </w:abstractNum>
  <w:abstractNum w:abstractNumId="1" w15:restartNumberingAfterBreak="0">
    <w:nsid w:val="15E11FA1"/>
    <w:multiLevelType w:val="hybridMultilevel"/>
    <w:tmpl w:val="0D66701E"/>
    <w:lvl w:ilvl="0" w:tplc="91F6FD9A">
      <w:start w:val="1"/>
      <w:numFmt w:val="decimal"/>
      <w:lvlText w:val="(%1)"/>
      <w:lvlJc w:val="left"/>
      <w:pPr>
        <w:ind w:left="418" w:hanging="360"/>
      </w:pPr>
      <w:rPr>
        <w:rFonts w:ascii="標楷體" w:eastAsia="標楷體" w:hAnsi="標楷體"/>
        <w:b w:val="0"/>
        <w:bCs w:val="0"/>
      </w:rPr>
    </w:lvl>
    <w:lvl w:ilvl="1" w:tplc="04090019">
      <w:start w:val="1"/>
      <w:numFmt w:val="ideographTraditional"/>
      <w:lvlText w:val="%2、"/>
      <w:lvlJc w:val="left"/>
      <w:pPr>
        <w:ind w:left="1018" w:hanging="480"/>
      </w:pPr>
    </w:lvl>
    <w:lvl w:ilvl="2" w:tplc="0409001B">
      <w:start w:val="1"/>
      <w:numFmt w:val="lowerRoman"/>
      <w:lvlText w:val="%3."/>
      <w:lvlJc w:val="right"/>
      <w:pPr>
        <w:ind w:left="1498" w:hanging="480"/>
      </w:pPr>
    </w:lvl>
    <w:lvl w:ilvl="3" w:tplc="0409000F">
      <w:start w:val="1"/>
      <w:numFmt w:val="decimal"/>
      <w:lvlText w:val="%4."/>
      <w:lvlJc w:val="left"/>
      <w:pPr>
        <w:ind w:left="1978" w:hanging="480"/>
      </w:pPr>
    </w:lvl>
    <w:lvl w:ilvl="4" w:tplc="04090019">
      <w:start w:val="1"/>
      <w:numFmt w:val="ideographTraditional"/>
      <w:lvlText w:val="%5、"/>
      <w:lvlJc w:val="left"/>
      <w:pPr>
        <w:ind w:left="2458" w:hanging="480"/>
      </w:pPr>
    </w:lvl>
    <w:lvl w:ilvl="5" w:tplc="0409001B">
      <w:start w:val="1"/>
      <w:numFmt w:val="lowerRoman"/>
      <w:lvlText w:val="%6."/>
      <w:lvlJc w:val="right"/>
      <w:pPr>
        <w:ind w:left="2938" w:hanging="480"/>
      </w:pPr>
    </w:lvl>
    <w:lvl w:ilvl="6" w:tplc="0409000F">
      <w:start w:val="1"/>
      <w:numFmt w:val="decimal"/>
      <w:lvlText w:val="%7."/>
      <w:lvlJc w:val="left"/>
      <w:pPr>
        <w:ind w:left="3418" w:hanging="480"/>
      </w:pPr>
    </w:lvl>
    <w:lvl w:ilvl="7" w:tplc="04090019">
      <w:start w:val="1"/>
      <w:numFmt w:val="ideographTraditional"/>
      <w:lvlText w:val="%8、"/>
      <w:lvlJc w:val="left"/>
      <w:pPr>
        <w:ind w:left="3898" w:hanging="480"/>
      </w:pPr>
    </w:lvl>
    <w:lvl w:ilvl="8" w:tplc="0409001B">
      <w:start w:val="1"/>
      <w:numFmt w:val="lowerRoman"/>
      <w:lvlText w:val="%9."/>
      <w:lvlJc w:val="right"/>
      <w:pPr>
        <w:ind w:left="4378" w:hanging="480"/>
      </w:pPr>
    </w:lvl>
  </w:abstractNum>
  <w:abstractNum w:abstractNumId="2" w15:restartNumberingAfterBreak="0">
    <w:nsid w:val="1A7706F7"/>
    <w:multiLevelType w:val="hybridMultilevel"/>
    <w:tmpl w:val="4EA466E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A0F7EA4"/>
    <w:multiLevelType w:val="hybridMultilevel"/>
    <w:tmpl w:val="C58AF1FC"/>
    <w:lvl w:ilvl="0" w:tplc="FFFFFFFF">
      <w:start w:val="1"/>
      <w:numFmt w:val="decimal"/>
      <w:lvlText w:val="%1."/>
      <w:lvlJc w:val="left"/>
      <w:pPr>
        <w:ind w:left="360" w:hanging="360"/>
      </w:pPr>
    </w:lvl>
    <w:lvl w:ilvl="1" w:tplc="FFFFFFFF">
      <w:start w:val="1"/>
      <w:numFmt w:val="ideographTraditional"/>
      <w:lvlText w:val="%2、"/>
      <w:lvlJc w:val="left"/>
      <w:pPr>
        <w:ind w:left="960" w:hanging="480"/>
      </w:pPr>
    </w:lvl>
    <w:lvl w:ilvl="2" w:tplc="FFFFFFFF">
      <w:start w:val="1"/>
      <w:numFmt w:val="lowerRoman"/>
      <w:lvlText w:val="%3."/>
      <w:lvlJc w:val="right"/>
      <w:pPr>
        <w:ind w:left="1440" w:hanging="480"/>
      </w:pPr>
    </w:lvl>
    <w:lvl w:ilvl="3" w:tplc="FFFFFFFF">
      <w:start w:val="1"/>
      <w:numFmt w:val="decimal"/>
      <w:lvlText w:val="%4."/>
      <w:lvlJc w:val="left"/>
      <w:pPr>
        <w:ind w:left="1920" w:hanging="480"/>
      </w:pPr>
    </w:lvl>
    <w:lvl w:ilvl="4" w:tplc="FFFFFFFF">
      <w:start w:val="1"/>
      <w:numFmt w:val="ideographTraditional"/>
      <w:lvlText w:val="%5、"/>
      <w:lvlJc w:val="left"/>
      <w:pPr>
        <w:ind w:left="2400" w:hanging="480"/>
      </w:pPr>
    </w:lvl>
    <w:lvl w:ilvl="5" w:tplc="FFFFFFFF">
      <w:start w:val="1"/>
      <w:numFmt w:val="lowerRoman"/>
      <w:lvlText w:val="%6."/>
      <w:lvlJc w:val="right"/>
      <w:pPr>
        <w:ind w:left="2880" w:hanging="480"/>
      </w:pPr>
    </w:lvl>
    <w:lvl w:ilvl="6" w:tplc="FFFFFFFF">
      <w:start w:val="1"/>
      <w:numFmt w:val="decimal"/>
      <w:lvlText w:val="%7."/>
      <w:lvlJc w:val="left"/>
      <w:pPr>
        <w:ind w:left="3360" w:hanging="480"/>
      </w:pPr>
    </w:lvl>
    <w:lvl w:ilvl="7" w:tplc="FFFFFFFF">
      <w:start w:val="1"/>
      <w:numFmt w:val="ideographTraditional"/>
      <w:lvlText w:val="%8、"/>
      <w:lvlJc w:val="left"/>
      <w:pPr>
        <w:ind w:left="3840" w:hanging="480"/>
      </w:pPr>
    </w:lvl>
    <w:lvl w:ilvl="8" w:tplc="FFFFFFFF">
      <w:start w:val="1"/>
      <w:numFmt w:val="lowerRoman"/>
      <w:lvlText w:val="%9."/>
      <w:lvlJc w:val="right"/>
      <w:pPr>
        <w:ind w:left="4320" w:hanging="480"/>
      </w:pPr>
    </w:lvl>
  </w:abstractNum>
  <w:num w:numId="1" w16cid:durableId="1005133869">
    <w:abstractNumId w:val="3"/>
  </w:num>
  <w:num w:numId="2" w16cid:durableId="1227718410">
    <w:abstractNumId w:val="1"/>
  </w:num>
  <w:num w:numId="3" w16cid:durableId="191581280">
    <w:abstractNumId w:val="0"/>
  </w:num>
  <w:num w:numId="4" w16cid:durableId="9043361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252"/>
    <w:rsid w:val="00010E83"/>
    <w:rsid w:val="00064D74"/>
    <w:rsid w:val="000F14B6"/>
    <w:rsid w:val="00107561"/>
    <w:rsid w:val="00120C64"/>
    <w:rsid w:val="002034C8"/>
    <w:rsid w:val="00261862"/>
    <w:rsid w:val="002A08E7"/>
    <w:rsid w:val="00312F33"/>
    <w:rsid w:val="003437A5"/>
    <w:rsid w:val="00446635"/>
    <w:rsid w:val="004A1DBE"/>
    <w:rsid w:val="004A6809"/>
    <w:rsid w:val="004C668E"/>
    <w:rsid w:val="004E4CBF"/>
    <w:rsid w:val="00544C44"/>
    <w:rsid w:val="0058106F"/>
    <w:rsid w:val="00585ABE"/>
    <w:rsid w:val="006662EF"/>
    <w:rsid w:val="006B2F98"/>
    <w:rsid w:val="006D320C"/>
    <w:rsid w:val="007E6B0B"/>
    <w:rsid w:val="008248D4"/>
    <w:rsid w:val="00851FC3"/>
    <w:rsid w:val="008A36D9"/>
    <w:rsid w:val="008E1C54"/>
    <w:rsid w:val="00910C1E"/>
    <w:rsid w:val="00962C25"/>
    <w:rsid w:val="009A40D1"/>
    <w:rsid w:val="009C0413"/>
    <w:rsid w:val="009C1526"/>
    <w:rsid w:val="009C6174"/>
    <w:rsid w:val="00A51223"/>
    <w:rsid w:val="00A76D96"/>
    <w:rsid w:val="00A92347"/>
    <w:rsid w:val="00B42E91"/>
    <w:rsid w:val="00C14252"/>
    <w:rsid w:val="00C96F43"/>
    <w:rsid w:val="00CA475F"/>
    <w:rsid w:val="00DF1554"/>
    <w:rsid w:val="00E339D3"/>
    <w:rsid w:val="00F53B5B"/>
    <w:rsid w:val="00FB0E2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320905"/>
  <w15:chartTrackingRefBased/>
  <w15:docId w15:val="{F43C7E2B-8A8B-4ECA-927C-C19566D16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14252"/>
    <w:pPr>
      <w:widowControl w:val="0"/>
    </w:pPr>
  </w:style>
  <w:style w:type="paragraph" w:styleId="1">
    <w:name w:val="heading 1"/>
    <w:basedOn w:val="a"/>
    <w:next w:val="a"/>
    <w:link w:val="10"/>
    <w:uiPriority w:val="9"/>
    <w:qFormat/>
    <w:rsid w:val="00C14252"/>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C14252"/>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C14252"/>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iPriority w:val="9"/>
    <w:semiHidden/>
    <w:unhideWhenUsed/>
    <w:qFormat/>
    <w:rsid w:val="00C14252"/>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C14252"/>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C14252"/>
    <w:pPr>
      <w:keepNext/>
      <w:keepLines/>
      <w:spacing w:before="40" w:after="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C14252"/>
    <w:pPr>
      <w:keepNext/>
      <w:keepLines/>
      <w:spacing w:before="40" w:after="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C14252"/>
    <w:pPr>
      <w:keepNext/>
      <w:keepLines/>
      <w:spacing w:before="40" w:after="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C14252"/>
    <w:pPr>
      <w:keepNext/>
      <w:keepLines/>
      <w:spacing w:before="40" w:after="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C14252"/>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C14252"/>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C14252"/>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C14252"/>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C14252"/>
    <w:rPr>
      <w:rFonts w:eastAsiaTheme="majorEastAsia" w:cstheme="majorBidi"/>
      <w:color w:val="0F4761" w:themeColor="accent1" w:themeShade="BF"/>
    </w:rPr>
  </w:style>
  <w:style w:type="character" w:customStyle="1" w:styleId="60">
    <w:name w:val="標題 6 字元"/>
    <w:basedOn w:val="a0"/>
    <w:link w:val="6"/>
    <w:uiPriority w:val="9"/>
    <w:semiHidden/>
    <w:rsid w:val="00C14252"/>
    <w:rPr>
      <w:rFonts w:eastAsiaTheme="majorEastAsia" w:cstheme="majorBidi"/>
      <w:color w:val="595959" w:themeColor="text1" w:themeTint="A6"/>
    </w:rPr>
  </w:style>
  <w:style w:type="character" w:customStyle="1" w:styleId="70">
    <w:name w:val="標題 7 字元"/>
    <w:basedOn w:val="a0"/>
    <w:link w:val="7"/>
    <w:uiPriority w:val="9"/>
    <w:semiHidden/>
    <w:rsid w:val="00C14252"/>
    <w:rPr>
      <w:rFonts w:eastAsiaTheme="majorEastAsia" w:cstheme="majorBidi"/>
      <w:color w:val="595959" w:themeColor="text1" w:themeTint="A6"/>
    </w:rPr>
  </w:style>
  <w:style w:type="character" w:customStyle="1" w:styleId="80">
    <w:name w:val="標題 8 字元"/>
    <w:basedOn w:val="a0"/>
    <w:link w:val="8"/>
    <w:uiPriority w:val="9"/>
    <w:semiHidden/>
    <w:rsid w:val="00C14252"/>
    <w:rPr>
      <w:rFonts w:eastAsiaTheme="majorEastAsia" w:cstheme="majorBidi"/>
      <w:color w:val="272727" w:themeColor="text1" w:themeTint="D8"/>
    </w:rPr>
  </w:style>
  <w:style w:type="character" w:customStyle="1" w:styleId="90">
    <w:name w:val="標題 9 字元"/>
    <w:basedOn w:val="a0"/>
    <w:link w:val="9"/>
    <w:uiPriority w:val="9"/>
    <w:semiHidden/>
    <w:rsid w:val="00C14252"/>
    <w:rPr>
      <w:rFonts w:eastAsiaTheme="majorEastAsia" w:cstheme="majorBidi"/>
      <w:color w:val="272727" w:themeColor="text1" w:themeTint="D8"/>
    </w:rPr>
  </w:style>
  <w:style w:type="paragraph" w:styleId="a3">
    <w:name w:val="Title"/>
    <w:basedOn w:val="a"/>
    <w:next w:val="a"/>
    <w:link w:val="a4"/>
    <w:uiPriority w:val="10"/>
    <w:qFormat/>
    <w:rsid w:val="00C14252"/>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C1425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14252"/>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C14252"/>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C14252"/>
    <w:pPr>
      <w:spacing w:before="160"/>
      <w:jc w:val="center"/>
    </w:pPr>
    <w:rPr>
      <w:i/>
      <w:iCs/>
      <w:color w:val="404040" w:themeColor="text1" w:themeTint="BF"/>
    </w:rPr>
  </w:style>
  <w:style w:type="character" w:customStyle="1" w:styleId="a8">
    <w:name w:val="引文 字元"/>
    <w:basedOn w:val="a0"/>
    <w:link w:val="a7"/>
    <w:uiPriority w:val="29"/>
    <w:rsid w:val="00C14252"/>
    <w:rPr>
      <w:i/>
      <w:iCs/>
      <w:color w:val="404040" w:themeColor="text1" w:themeTint="BF"/>
    </w:rPr>
  </w:style>
  <w:style w:type="paragraph" w:styleId="a9">
    <w:name w:val="List Paragraph"/>
    <w:basedOn w:val="a"/>
    <w:uiPriority w:val="34"/>
    <w:qFormat/>
    <w:rsid w:val="00C14252"/>
    <w:pPr>
      <w:ind w:left="720"/>
      <w:contextualSpacing/>
    </w:pPr>
  </w:style>
  <w:style w:type="character" w:styleId="aa">
    <w:name w:val="Intense Emphasis"/>
    <w:basedOn w:val="a0"/>
    <w:uiPriority w:val="21"/>
    <w:qFormat/>
    <w:rsid w:val="00C14252"/>
    <w:rPr>
      <w:i/>
      <w:iCs/>
      <w:color w:val="0F4761" w:themeColor="accent1" w:themeShade="BF"/>
    </w:rPr>
  </w:style>
  <w:style w:type="paragraph" w:styleId="ab">
    <w:name w:val="Intense Quote"/>
    <w:basedOn w:val="a"/>
    <w:next w:val="a"/>
    <w:link w:val="ac"/>
    <w:uiPriority w:val="30"/>
    <w:qFormat/>
    <w:rsid w:val="00C142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C14252"/>
    <w:rPr>
      <w:i/>
      <w:iCs/>
      <w:color w:val="0F4761" w:themeColor="accent1" w:themeShade="BF"/>
    </w:rPr>
  </w:style>
  <w:style w:type="character" w:styleId="ad">
    <w:name w:val="Intense Reference"/>
    <w:basedOn w:val="a0"/>
    <w:uiPriority w:val="32"/>
    <w:qFormat/>
    <w:rsid w:val="00C14252"/>
    <w:rPr>
      <w:b/>
      <w:bCs/>
      <w:smallCaps/>
      <w:color w:val="0F4761" w:themeColor="accent1" w:themeShade="BF"/>
      <w:spacing w:val="5"/>
    </w:rPr>
  </w:style>
  <w:style w:type="table" w:styleId="ae">
    <w:name w:val="Table Grid"/>
    <w:basedOn w:val="a1"/>
    <w:uiPriority w:val="39"/>
    <w:rsid w:val="00C142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header"/>
    <w:basedOn w:val="a"/>
    <w:link w:val="af0"/>
    <w:uiPriority w:val="99"/>
    <w:unhideWhenUsed/>
    <w:rsid w:val="00585ABE"/>
    <w:pPr>
      <w:tabs>
        <w:tab w:val="center" w:pos="4153"/>
        <w:tab w:val="right" w:pos="8306"/>
      </w:tabs>
      <w:snapToGrid w:val="0"/>
    </w:pPr>
    <w:rPr>
      <w:sz w:val="20"/>
      <w:szCs w:val="20"/>
    </w:rPr>
  </w:style>
  <w:style w:type="character" w:customStyle="1" w:styleId="af0">
    <w:name w:val="頁首 字元"/>
    <w:basedOn w:val="a0"/>
    <w:link w:val="af"/>
    <w:uiPriority w:val="99"/>
    <w:rsid w:val="00585ABE"/>
    <w:rPr>
      <w:sz w:val="20"/>
      <w:szCs w:val="20"/>
    </w:rPr>
  </w:style>
  <w:style w:type="paragraph" w:styleId="af1">
    <w:name w:val="footer"/>
    <w:basedOn w:val="a"/>
    <w:link w:val="af2"/>
    <w:uiPriority w:val="99"/>
    <w:unhideWhenUsed/>
    <w:rsid w:val="00585ABE"/>
    <w:pPr>
      <w:tabs>
        <w:tab w:val="center" w:pos="4153"/>
        <w:tab w:val="right" w:pos="8306"/>
      </w:tabs>
      <w:snapToGrid w:val="0"/>
    </w:pPr>
    <w:rPr>
      <w:sz w:val="20"/>
      <w:szCs w:val="20"/>
    </w:rPr>
  </w:style>
  <w:style w:type="character" w:customStyle="1" w:styleId="af2">
    <w:name w:val="頁尾 字元"/>
    <w:basedOn w:val="a0"/>
    <w:link w:val="af1"/>
    <w:uiPriority w:val="99"/>
    <w:rsid w:val="00585ABE"/>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0225629">
      <w:bodyDiv w:val="1"/>
      <w:marLeft w:val="0"/>
      <w:marRight w:val="0"/>
      <w:marTop w:val="0"/>
      <w:marBottom w:val="0"/>
      <w:divBdr>
        <w:top w:val="none" w:sz="0" w:space="0" w:color="auto"/>
        <w:left w:val="none" w:sz="0" w:space="0" w:color="auto"/>
        <w:bottom w:val="none" w:sz="0" w:space="0" w:color="auto"/>
        <w:right w:val="none" w:sz="0" w:space="0" w:color="auto"/>
      </w:divBdr>
    </w:div>
    <w:div w:id="1896888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E7819D-7D1C-47CA-B77D-60A3EFA5EE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147</Words>
  <Characters>841</Characters>
  <Application>Microsoft Office Word</Application>
  <DocSecurity>0</DocSecurity>
  <Lines>7</Lines>
  <Paragraphs>1</Paragraphs>
  <ScaleCrop>false</ScaleCrop>
  <Company/>
  <LinksUpToDate>false</LinksUpToDate>
  <CharactersWithSpaces>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宋芷瑋</dc:creator>
  <cp:keywords/>
  <dc:description/>
  <cp:lastModifiedBy>宋芷瑋</cp:lastModifiedBy>
  <cp:revision>6</cp:revision>
  <cp:lastPrinted>2025-05-26T06:35:00Z</cp:lastPrinted>
  <dcterms:created xsi:type="dcterms:W3CDTF">2025-09-10T07:11:00Z</dcterms:created>
  <dcterms:modified xsi:type="dcterms:W3CDTF">2025-09-10T08:20:00Z</dcterms:modified>
</cp:coreProperties>
</file>