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B0DA05" w14:textId="77777777" w:rsidR="00B820C5" w:rsidRDefault="00B820C5" w:rsidP="00FA6F58">
      <w:pPr>
        <w:spacing w:line="400" w:lineRule="exact"/>
        <w:jc w:val="center"/>
        <w:rPr>
          <w:rFonts w:ascii="Arial" w:eastAsia="標楷體" w:hAnsi="Arial" w:cs="Arial"/>
          <w:b/>
          <w:sz w:val="32"/>
          <w:szCs w:val="32"/>
        </w:rPr>
      </w:pPr>
      <w:r w:rsidRPr="00EE2628">
        <w:rPr>
          <w:rFonts w:ascii="Arial" w:eastAsia="標楷體" w:hAnsi="Arial" w:cs="Arial"/>
          <w:b/>
          <w:sz w:val="32"/>
          <w:szCs w:val="32"/>
        </w:rPr>
        <w:t>「保險業風險管理實務守則」</w:t>
      </w:r>
    </w:p>
    <w:p w14:paraId="3CDB6477" w14:textId="65DDC07B" w:rsidR="00B820C5" w:rsidRDefault="00B623AE" w:rsidP="00FA6F58">
      <w:pPr>
        <w:widowControl/>
        <w:spacing w:line="400" w:lineRule="exact"/>
        <w:jc w:val="center"/>
        <w:rPr>
          <w:rFonts w:ascii="Arial" w:eastAsia="標楷體" w:hAnsi="Arial" w:cs="Arial"/>
          <w:b/>
          <w:sz w:val="32"/>
          <w:szCs w:val="32"/>
        </w:rPr>
      </w:pPr>
      <w:r w:rsidRPr="00B623AE">
        <w:rPr>
          <w:rFonts w:ascii="Arial" w:eastAsia="標楷體" w:hAnsi="Arial" w:cs="Arial" w:hint="eastAsia"/>
          <w:b/>
          <w:sz w:val="32"/>
          <w:szCs w:val="32"/>
        </w:rPr>
        <w:t>條文</w:t>
      </w:r>
      <w:r w:rsidR="00B820C5" w:rsidRPr="00EE2628">
        <w:rPr>
          <w:rFonts w:ascii="Arial" w:eastAsia="標楷體" w:hAnsi="Arial" w:cs="Arial" w:hint="eastAsia"/>
          <w:b/>
          <w:sz w:val="32"/>
          <w:szCs w:val="32"/>
        </w:rPr>
        <w:t>4.1</w:t>
      </w:r>
      <w:r w:rsidR="00B820C5" w:rsidRPr="00EE2628">
        <w:rPr>
          <w:rFonts w:ascii="Arial" w:eastAsia="標楷體" w:hAnsi="Arial" w:cs="Arial"/>
          <w:b/>
          <w:sz w:val="32"/>
          <w:szCs w:val="32"/>
        </w:rPr>
        <w:t>.2</w:t>
      </w:r>
      <w:r w:rsidR="00B820C5" w:rsidRPr="00EE2628">
        <w:rPr>
          <w:rFonts w:ascii="Arial" w:eastAsia="標楷體" w:hAnsi="Arial" w:cs="Arial" w:hint="eastAsia"/>
          <w:b/>
          <w:sz w:val="32"/>
          <w:szCs w:val="32"/>
        </w:rPr>
        <w:t xml:space="preserve">, </w:t>
      </w:r>
      <w:r w:rsidR="00B820C5">
        <w:rPr>
          <w:rFonts w:ascii="Arial" w:eastAsia="標楷體" w:hAnsi="Arial" w:cs="Arial"/>
          <w:b/>
          <w:sz w:val="32"/>
          <w:szCs w:val="32"/>
        </w:rPr>
        <w:t>5.3.2</w:t>
      </w:r>
      <w:r w:rsidR="00B820C5" w:rsidRPr="00EE2628">
        <w:rPr>
          <w:rFonts w:ascii="Arial" w:eastAsia="標楷體" w:hAnsi="Arial" w:cs="Arial" w:hint="eastAsia"/>
          <w:b/>
          <w:sz w:val="32"/>
          <w:szCs w:val="32"/>
        </w:rPr>
        <w:t xml:space="preserve">, </w:t>
      </w:r>
      <w:r w:rsidR="00B820C5">
        <w:rPr>
          <w:rFonts w:ascii="Arial" w:eastAsia="標楷體" w:hAnsi="Arial" w:cs="Arial"/>
          <w:b/>
          <w:sz w:val="32"/>
          <w:szCs w:val="32"/>
        </w:rPr>
        <w:t>5.3.4</w:t>
      </w:r>
      <w:r w:rsidR="00B820C5" w:rsidRPr="00EE2628">
        <w:rPr>
          <w:rFonts w:ascii="Arial" w:eastAsia="標楷體" w:hAnsi="Arial" w:cs="Arial" w:hint="eastAsia"/>
          <w:b/>
          <w:sz w:val="32"/>
          <w:szCs w:val="32"/>
        </w:rPr>
        <w:t>,</w:t>
      </w:r>
      <w:r w:rsidR="00B820C5">
        <w:rPr>
          <w:rFonts w:ascii="Arial" w:eastAsia="標楷體" w:hAnsi="Arial" w:cs="Arial"/>
          <w:b/>
          <w:sz w:val="32"/>
          <w:szCs w:val="32"/>
        </w:rPr>
        <w:t xml:space="preserve"> </w:t>
      </w:r>
      <w:r w:rsidR="00B820C5" w:rsidRPr="00EE2628">
        <w:rPr>
          <w:rFonts w:ascii="Arial" w:eastAsia="標楷體" w:hAnsi="Arial" w:cs="Arial" w:hint="eastAsia"/>
          <w:b/>
          <w:sz w:val="32"/>
          <w:szCs w:val="32"/>
        </w:rPr>
        <w:t>5.8</w:t>
      </w:r>
      <w:r w:rsidR="00B820C5">
        <w:rPr>
          <w:rFonts w:ascii="Arial" w:eastAsia="標楷體" w:hAnsi="Arial" w:cs="Arial" w:hint="eastAsia"/>
          <w:b/>
          <w:sz w:val="32"/>
          <w:szCs w:val="32"/>
        </w:rPr>
        <w:t>.1~5.8.3</w:t>
      </w:r>
      <w:r w:rsidR="00B820C5" w:rsidRPr="00EE2628">
        <w:rPr>
          <w:rFonts w:ascii="Arial" w:eastAsia="標楷體" w:hAnsi="Arial" w:cs="Arial" w:hint="eastAsia"/>
          <w:b/>
          <w:sz w:val="32"/>
          <w:szCs w:val="32"/>
        </w:rPr>
        <w:t>, 5.9</w:t>
      </w:r>
      <w:r w:rsidR="00527074">
        <w:rPr>
          <w:rFonts w:ascii="Arial" w:eastAsia="標楷體" w:hAnsi="Arial" w:cs="Arial"/>
          <w:b/>
          <w:sz w:val="32"/>
          <w:szCs w:val="32"/>
        </w:rPr>
        <w:t>修正對照表</w:t>
      </w:r>
    </w:p>
    <w:tbl>
      <w:tblPr>
        <w:tblStyle w:val="a7"/>
        <w:tblW w:w="9923" w:type="dxa"/>
        <w:jc w:val="center"/>
        <w:tblLook w:val="04A0" w:firstRow="1" w:lastRow="0" w:firstColumn="1" w:lastColumn="0" w:noHBand="0" w:noVBand="1"/>
      </w:tblPr>
      <w:tblGrid>
        <w:gridCol w:w="3307"/>
        <w:gridCol w:w="3308"/>
        <w:gridCol w:w="3308"/>
      </w:tblGrid>
      <w:tr w:rsidR="00B820C5" w:rsidRPr="00EE2628" w14:paraId="2001D9D2" w14:textId="77777777" w:rsidTr="007B126F">
        <w:trPr>
          <w:trHeight w:val="390"/>
          <w:tblHeader/>
          <w:jc w:val="center"/>
        </w:trPr>
        <w:tc>
          <w:tcPr>
            <w:tcW w:w="3307" w:type="dxa"/>
          </w:tcPr>
          <w:p w14:paraId="2A443744" w14:textId="3BBFF2CA" w:rsidR="00B820C5" w:rsidRPr="00EE2628" w:rsidRDefault="00527074" w:rsidP="00FA6F58">
            <w:pPr>
              <w:spacing w:line="400" w:lineRule="exact"/>
              <w:jc w:val="center"/>
              <w:rPr>
                <w:rFonts w:ascii="Arial" w:eastAsia="標楷體" w:hAnsi="Arial" w:cs="Arial"/>
                <w:b/>
                <w:sz w:val="28"/>
                <w:szCs w:val="28"/>
              </w:rPr>
            </w:pPr>
            <w:r>
              <w:rPr>
                <w:rFonts w:ascii="Arial" w:eastAsia="標楷體" w:hAnsi="Arial" w:cs="Arial"/>
                <w:b/>
                <w:sz w:val="28"/>
                <w:szCs w:val="28"/>
              </w:rPr>
              <w:t>修正條文</w:t>
            </w:r>
          </w:p>
        </w:tc>
        <w:tc>
          <w:tcPr>
            <w:tcW w:w="3308" w:type="dxa"/>
          </w:tcPr>
          <w:p w14:paraId="1608FD74" w14:textId="77777777" w:rsidR="00B820C5" w:rsidRPr="00EE2628" w:rsidRDefault="00B820C5" w:rsidP="00FA6F58">
            <w:pPr>
              <w:spacing w:line="400" w:lineRule="exact"/>
              <w:jc w:val="center"/>
              <w:rPr>
                <w:rFonts w:ascii="Arial" w:eastAsia="標楷體" w:hAnsi="Arial" w:cs="Arial"/>
                <w:b/>
                <w:sz w:val="28"/>
                <w:szCs w:val="28"/>
              </w:rPr>
            </w:pPr>
            <w:r w:rsidRPr="00EE2628">
              <w:rPr>
                <w:rFonts w:ascii="Arial" w:eastAsia="標楷體" w:hAnsi="Arial" w:cs="Arial"/>
                <w:b/>
                <w:sz w:val="28"/>
                <w:szCs w:val="28"/>
              </w:rPr>
              <w:t>現行條文</w:t>
            </w:r>
          </w:p>
        </w:tc>
        <w:tc>
          <w:tcPr>
            <w:tcW w:w="3308" w:type="dxa"/>
          </w:tcPr>
          <w:p w14:paraId="71F00522" w14:textId="77777777" w:rsidR="00B820C5" w:rsidRPr="00EE2628" w:rsidRDefault="00B820C5" w:rsidP="00FA6F58">
            <w:pPr>
              <w:spacing w:line="400" w:lineRule="exact"/>
              <w:jc w:val="center"/>
              <w:rPr>
                <w:rFonts w:ascii="Arial" w:eastAsia="標楷體" w:hAnsi="Arial" w:cs="Arial"/>
                <w:b/>
                <w:sz w:val="28"/>
                <w:szCs w:val="28"/>
              </w:rPr>
            </w:pPr>
            <w:r w:rsidRPr="00EE2628">
              <w:rPr>
                <w:rFonts w:ascii="Arial" w:eastAsia="標楷體" w:hAnsi="Arial" w:cs="Arial"/>
                <w:b/>
                <w:sz w:val="28"/>
                <w:szCs w:val="28"/>
              </w:rPr>
              <w:t>說明</w:t>
            </w:r>
          </w:p>
        </w:tc>
      </w:tr>
      <w:tr w:rsidR="00B820C5" w:rsidRPr="00EE2628" w14:paraId="44051553" w14:textId="77777777" w:rsidTr="007B126F">
        <w:trPr>
          <w:trHeight w:val="6101"/>
          <w:jc w:val="center"/>
        </w:trPr>
        <w:tc>
          <w:tcPr>
            <w:tcW w:w="3307" w:type="dxa"/>
          </w:tcPr>
          <w:p w14:paraId="020E197F" w14:textId="77777777" w:rsidR="00B820C5" w:rsidRPr="00EE2628" w:rsidRDefault="00B820C5" w:rsidP="00FA6F58">
            <w:pPr>
              <w:spacing w:line="400" w:lineRule="exact"/>
              <w:jc w:val="both"/>
              <w:outlineLvl w:val="1"/>
              <w:rPr>
                <w:rFonts w:ascii="Arial" w:eastAsia="標楷體" w:hAnsi="Arial" w:cs="Arial"/>
                <w:b/>
                <w:sz w:val="28"/>
                <w:szCs w:val="28"/>
              </w:rPr>
            </w:pPr>
            <w:bookmarkStart w:id="0" w:name="_Toc276712376"/>
            <w:r w:rsidRPr="00EE2628">
              <w:rPr>
                <w:rFonts w:ascii="Arial" w:eastAsia="標楷體" w:hAnsi="Arial" w:cs="Arial"/>
                <w:b/>
                <w:sz w:val="28"/>
                <w:szCs w:val="28"/>
              </w:rPr>
              <w:t xml:space="preserve">4.1 </w:t>
            </w:r>
            <w:r w:rsidRPr="00EE2628">
              <w:rPr>
                <w:rFonts w:ascii="Arial" w:eastAsia="標楷體" w:hAnsi="Arial" w:cs="Arial"/>
                <w:b/>
                <w:sz w:val="28"/>
                <w:szCs w:val="28"/>
              </w:rPr>
              <w:t>風險辨識</w:t>
            </w:r>
            <w:bookmarkEnd w:id="0"/>
          </w:p>
          <w:p w14:paraId="71F4C632" w14:textId="77777777" w:rsidR="00B820C5" w:rsidRPr="00EE2628" w:rsidRDefault="00B820C5" w:rsidP="00FA6F58">
            <w:pPr>
              <w:spacing w:line="400" w:lineRule="exact"/>
              <w:jc w:val="both"/>
              <w:outlineLvl w:val="1"/>
              <w:rPr>
                <w:rFonts w:ascii="Arial" w:eastAsia="標楷體" w:hAnsi="Arial" w:cs="Arial"/>
                <w:b/>
                <w:sz w:val="28"/>
                <w:szCs w:val="28"/>
              </w:rPr>
            </w:pPr>
            <w:r w:rsidRPr="00EE2628">
              <w:rPr>
                <w:rFonts w:ascii="Arial" w:eastAsia="標楷體" w:hAnsi="Arial" w:cs="Arial"/>
                <w:b/>
                <w:sz w:val="28"/>
                <w:szCs w:val="28"/>
              </w:rPr>
              <w:t>4.1.2</w:t>
            </w:r>
          </w:p>
          <w:p w14:paraId="56645AAF" w14:textId="77777777" w:rsidR="00B820C5" w:rsidRPr="00EE2628" w:rsidRDefault="00B820C5" w:rsidP="00FA6F58">
            <w:pPr>
              <w:spacing w:line="400" w:lineRule="exact"/>
              <w:jc w:val="both"/>
              <w:rPr>
                <w:rFonts w:ascii="Arial" w:eastAsia="標楷體" w:hAnsi="Arial" w:cs="Arial"/>
                <w:sz w:val="28"/>
                <w:szCs w:val="28"/>
              </w:rPr>
            </w:pPr>
            <w:r w:rsidRPr="00EE2628">
              <w:rPr>
                <w:rFonts w:ascii="Arial" w:eastAsia="標楷體" w:hAnsi="Arial" w:cs="Arial"/>
                <w:sz w:val="28"/>
                <w:szCs w:val="28"/>
              </w:rPr>
              <w:t>保險業營運可能面臨之風險包括市場風險（</w:t>
            </w:r>
            <w:r w:rsidRPr="00EE2628">
              <w:rPr>
                <w:rFonts w:ascii="Arial" w:eastAsia="標楷體" w:hAnsi="Arial" w:cs="Arial"/>
                <w:sz w:val="28"/>
                <w:szCs w:val="28"/>
              </w:rPr>
              <w:t>Market Risk</w:t>
            </w:r>
            <w:r w:rsidRPr="00EE2628">
              <w:rPr>
                <w:rFonts w:ascii="Arial" w:eastAsia="標楷體" w:hAnsi="Arial" w:cs="Arial"/>
                <w:sz w:val="28"/>
                <w:szCs w:val="28"/>
              </w:rPr>
              <w:t>）、信用風險（</w:t>
            </w:r>
            <w:r w:rsidRPr="00EE2628">
              <w:rPr>
                <w:rFonts w:ascii="Arial" w:eastAsia="標楷體" w:hAnsi="Arial" w:cs="Arial"/>
                <w:sz w:val="28"/>
                <w:szCs w:val="28"/>
              </w:rPr>
              <w:t>Credit Risk</w:t>
            </w:r>
            <w:r w:rsidRPr="00EE2628">
              <w:rPr>
                <w:rFonts w:ascii="Arial" w:eastAsia="標楷體" w:hAnsi="Arial" w:cs="Arial"/>
                <w:sz w:val="28"/>
                <w:szCs w:val="28"/>
              </w:rPr>
              <w:t>）、流動性風險（</w:t>
            </w:r>
            <w:r w:rsidRPr="00EE2628">
              <w:rPr>
                <w:rFonts w:ascii="Arial" w:eastAsia="標楷體" w:hAnsi="Arial" w:cs="Arial"/>
                <w:sz w:val="28"/>
                <w:szCs w:val="28"/>
              </w:rPr>
              <w:t>Liquidity Risk</w:t>
            </w:r>
            <w:r w:rsidRPr="00EE2628">
              <w:rPr>
                <w:rFonts w:ascii="Arial" w:eastAsia="標楷體" w:hAnsi="Arial" w:cs="Arial"/>
                <w:sz w:val="28"/>
                <w:szCs w:val="28"/>
              </w:rPr>
              <w:t>）、作業風險（</w:t>
            </w:r>
            <w:r w:rsidRPr="00EE2628">
              <w:rPr>
                <w:rFonts w:ascii="Arial" w:eastAsia="標楷體" w:hAnsi="Arial" w:cs="Arial"/>
                <w:sz w:val="28"/>
                <w:szCs w:val="28"/>
              </w:rPr>
              <w:t>Operational Risk</w:t>
            </w:r>
            <w:r w:rsidRPr="00EE2628">
              <w:rPr>
                <w:rFonts w:ascii="Arial" w:eastAsia="標楷體" w:hAnsi="Arial" w:cs="Arial"/>
                <w:sz w:val="28"/>
                <w:szCs w:val="28"/>
              </w:rPr>
              <w:t>）、保險風險（</w:t>
            </w:r>
            <w:r w:rsidRPr="00EE2628">
              <w:rPr>
                <w:rFonts w:ascii="Arial" w:eastAsia="標楷體" w:hAnsi="Arial" w:cs="Arial"/>
                <w:sz w:val="28"/>
                <w:szCs w:val="28"/>
              </w:rPr>
              <w:t>Insurance Risk</w:t>
            </w:r>
            <w:r w:rsidRPr="00EE2628">
              <w:rPr>
                <w:rFonts w:ascii="Arial" w:eastAsia="標楷體" w:hAnsi="Arial" w:cs="Arial"/>
                <w:sz w:val="28"/>
                <w:szCs w:val="28"/>
              </w:rPr>
              <w:t>）、資產負債配合風險（</w:t>
            </w:r>
            <w:r w:rsidRPr="00EE2628">
              <w:rPr>
                <w:rFonts w:ascii="Arial" w:eastAsia="標楷體" w:hAnsi="Arial" w:cs="Arial"/>
                <w:sz w:val="28"/>
                <w:szCs w:val="28"/>
              </w:rPr>
              <w:t>Asset Liability Matching</w:t>
            </w:r>
            <w:r w:rsidRPr="00EE2628">
              <w:rPr>
                <w:rFonts w:ascii="Arial" w:eastAsia="標楷體" w:hAnsi="Arial" w:cs="Arial"/>
                <w:sz w:val="28"/>
                <w:szCs w:val="28"/>
              </w:rPr>
              <w:t>）</w:t>
            </w:r>
            <w:r w:rsidRPr="003A0387">
              <w:rPr>
                <w:rFonts w:ascii="Arial" w:eastAsia="標楷體" w:hAnsi="Arial" w:cs="Arial"/>
                <w:color w:val="EE0000"/>
                <w:sz w:val="28"/>
                <w:szCs w:val="28"/>
                <w:u w:val="single"/>
              </w:rPr>
              <w:t>、</w:t>
            </w:r>
            <w:r w:rsidRPr="00EE2628">
              <w:rPr>
                <w:rFonts w:ascii="Arial" w:eastAsia="標楷體" w:hAnsi="Arial" w:cs="Arial"/>
                <w:sz w:val="28"/>
                <w:szCs w:val="28"/>
              </w:rPr>
              <w:t>氣候變遷風險（</w:t>
            </w:r>
            <w:r w:rsidRPr="00EE2628">
              <w:rPr>
                <w:rFonts w:ascii="Arial" w:eastAsia="標楷體" w:hAnsi="Arial" w:cs="Arial"/>
                <w:sz w:val="28"/>
                <w:szCs w:val="28"/>
              </w:rPr>
              <w:t>Climate Change Risk</w:t>
            </w:r>
            <w:r w:rsidRPr="00EE2628">
              <w:rPr>
                <w:rFonts w:ascii="Arial" w:eastAsia="標楷體" w:hAnsi="Arial" w:cs="Arial"/>
                <w:sz w:val="28"/>
                <w:szCs w:val="28"/>
              </w:rPr>
              <w:t>）</w:t>
            </w:r>
            <w:r w:rsidRPr="00BC7C39">
              <w:rPr>
                <w:rFonts w:ascii="Arial" w:eastAsia="標楷體" w:hAnsi="Arial" w:cs="Arial"/>
                <w:color w:val="EE0000"/>
                <w:sz w:val="28"/>
                <w:szCs w:val="28"/>
                <w:u w:val="single"/>
              </w:rPr>
              <w:t>及</w:t>
            </w:r>
            <w:r w:rsidRPr="00686D4A">
              <w:rPr>
                <w:rFonts w:ascii="Arial" w:eastAsia="標楷體" w:hAnsi="Arial" w:cs="Arial"/>
                <w:color w:val="EE0000"/>
                <w:sz w:val="28"/>
                <w:szCs w:val="28"/>
                <w:u w:val="single"/>
              </w:rPr>
              <w:t>集團風險（</w:t>
            </w:r>
            <w:r w:rsidRPr="00686D4A">
              <w:rPr>
                <w:rFonts w:ascii="Arial" w:eastAsia="標楷體" w:hAnsi="Arial" w:cs="Arial"/>
                <w:color w:val="EE0000"/>
                <w:sz w:val="28"/>
                <w:szCs w:val="28"/>
                <w:u w:val="single"/>
              </w:rPr>
              <w:t>Group Risk</w:t>
            </w:r>
            <w:r w:rsidRPr="00686D4A">
              <w:rPr>
                <w:rFonts w:ascii="Arial" w:eastAsia="標楷體" w:hAnsi="Arial" w:cs="Arial"/>
                <w:color w:val="EE0000"/>
                <w:sz w:val="28"/>
                <w:szCs w:val="28"/>
                <w:u w:val="single"/>
              </w:rPr>
              <w:t>）</w:t>
            </w:r>
            <w:r w:rsidRPr="00EE2628">
              <w:rPr>
                <w:rFonts w:ascii="Arial" w:eastAsia="標楷體" w:hAnsi="Arial" w:cs="Arial"/>
                <w:sz w:val="28"/>
                <w:szCs w:val="28"/>
              </w:rPr>
              <w:t>等</w:t>
            </w:r>
          </w:p>
        </w:tc>
        <w:tc>
          <w:tcPr>
            <w:tcW w:w="3308" w:type="dxa"/>
          </w:tcPr>
          <w:p w14:paraId="62F7D958" w14:textId="77777777" w:rsidR="00B820C5" w:rsidRPr="00EE2628" w:rsidRDefault="00B820C5" w:rsidP="00FA6F58">
            <w:pPr>
              <w:spacing w:line="400" w:lineRule="exact"/>
              <w:jc w:val="both"/>
              <w:outlineLvl w:val="1"/>
              <w:rPr>
                <w:rFonts w:ascii="Arial" w:eastAsia="標楷體" w:hAnsi="Arial" w:cs="Arial"/>
                <w:b/>
                <w:sz w:val="28"/>
                <w:szCs w:val="28"/>
              </w:rPr>
            </w:pPr>
            <w:r w:rsidRPr="00EE2628">
              <w:rPr>
                <w:rFonts w:ascii="Arial" w:eastAsia="標楷體" w:hAnsi="Arial" w:cs="Arial"/>
                <w:b/>
                <w:sz w:val="28"/>
                <w:szCs w:val="28"/>
              </w:rPr>
              <w:t xml:space="preserve">4.1 </w:t>
            </w:r>
            <w:r w:rsidRPr="00EE2628">
              <w:rPr>
                <w:rFonts w:ascii="Arial" w:eastAsia="標楷體" w:hAnsi="Arial" w:cs="Arial"/>
                <w:b/>
                <w:sz w:val="28"/>
                <w:szCs w:val="28"/>
              </w:rPr>
              <w:t>風險辨識</w:t>
            </w:r>
          </w:p>
          <w:p w14:paraId="5959E2C7" w14:textId="77777777" w:rsidR="00B820C5" w:rsidRPr="00EE2628" w:rsidRDefault="00B820C5" w:rsidP="00FA6F58">
            <w:pPr>
              <w:spacing w:line="400" w:lineRule="exact"/>
              <w:jc w:val="both"/>
              <w:outlineLvl w:val="1"/>
              <w:rPr>
                <w:rFonts w:ascii="Arial" w:eastAsia="標楷體" w:hAnsi="Arial" w:cs="Arial"/>
                <w:b/>
                <w:sz w:val="28"/>
                <w:szCs w:val="28"/>
              </w:rPr>
            </w:pPr>
            <w:r w:rsidRPr="00EE2628">
              <w:rPr>
                <w:rFonts w:ascii="Arial" w:eastAsia="標楷體" w:hAnsi="Arial" w:cs="Arial"/>
                <w:b/>
                <w:sz w:val="28"/>
                <w:szCs w:val="28"/>
              </w:rPr>
              <w:t>4.1.2</w:t>
            </w:r>
          </w:p>
          <w:p w14:paraId="685DD604" w14:textId="77777777" w:rsidR="00B820C5" w:rsidRPr="00EE2628" w:rsidRDefault="00B820C5" w:rsidP="00FA6F58">
            <w:pPr>
              <w:spacing w:line="400" w:lineRule="exact"/>
              <w:jc w:val="both"/>
              <w:outlineLvl w:val="1"/>
              <w:rPr>
                <w:rFonts w:ascii="Arial" w:eastAsia="標楷體" w:hAnsi="Arial" w:cs="Arial"/>
                <w:sz w:val="28"/>
                <w:szCs w:val="28"/>
              </w:rPr>
            </w:pPr>
            <w:r w:rsidRPr="00EE2628">
              <w:rPr>
                <w:rFonts w:ascii="Arial" w:eastAsia="標楷體" w:hAnsi="Arial" w:cs="Arial"/>
                <w:sz w:val="28"/>
                <w:szCs w:val="28"/>
              </w:rPr>
              <w:t>保險業營運可能面臨之風險包括市場風險（</w:t>
            </w:r>
            <w:r w:rsidRPr="00EE2628">
              <w:rPr>
                <w:rFonts w:ascii="Arial" w:eastAsia="標楷體" w:hAnsi="Arial" w:cs="Arial"/>
                <w:sz w:val="28"/>
                <w:szCs w:val="28"/>
              </w:rPr>
              <w:t>Market Risk</w:t>
            </w:r>
            <w:r w:rsidRPr="00EE2628">
              <w:rPr>
                <w:rFonts w:ascii="Arial" w:eastAsia="標楷體" w:hAnsi="Arial" w:cs="Arial"/>
                <w:sz w:val="28"/>
                <w:szCs w:val="28"/>
              </w:rPr>
              <w:t>）、信用風險（</w:t>
            </w:r>
            <w:r w:rsidRPr="00EE2628">
              <w:rPr>
                <w:rFonts w:ascii="Arial" w:eastAsia="標楷體" w:hAnsi="Arial" w:cs="Arial"/>
                <w:sz w:val="28"/>
                <w:szCs w:val="28"/>
              </w:rPr>
              <w:t>Credit Risk</w:t>
            </w:r>
            <w:r w:rsidRPr="00EE2628">
              <w:rPr>
                <w:rFonts w:ascii="Arial" w:eastAsia="標楷體" w:hAnsi="Arial" w:cs="Arial"/>
                <w:sz w:val="28"/>
                <w:szCs w:val="28"/>
              </w:rPr>
              <w:t>）、流動性風險（</w:t>
            </w:r>
            <w:r w:rsidRPr="00EE2628">
              <w:rPr>
                <w:rFonts w:ascii="Arial" w:eastAsia="標楷體" w:hAnsi="Arial" w:cs="Arial"/>
                <w:sz w:val="28"/>
                <w:szCs w:val="28"/>
              </w:rPr>
              <w:t>Liquidity Risk</w:t>
            </w:r>
            <w:r w:rsidRPr="00EE2628">
              <w:rPr>
                <w:rFonts w:ascii="Arial" w:eastAsia="標楷體" w:hAnsi="Arial" w:cs="Arial"/>
                <w:sz w:val="28"/>
                <w:szCs w:val="28"/>
              </w:rPr>
              <w:t>）、作業風險（</w:t>
            </w:r>
            <w:r w:rsidRPr="00EE2628">
              <w:rPr>
                <w:rFonts w:ascii="Arial" w:eastAsia="標楷體" w:hAnsi="Arial" w:cs="Arial"/>
                <w:sz w:val="28"/>
                <w:szCs w:val="28"/>
              </w:rPr>
              <w:t>Operational Risk</w:t>
            </w:r>
            <w:r w:rsidRPr="00EE2628">
              <w:rPr>
                <w:rFonts w:ascii="Arial" w:eastAsia="標楷體" w:hAnsi="Arial" w:cs="Arial"/>
                <w:sz w:val="28"/>
                <w:szCs w:val="28"/>
              </w:rPr>
              <w:t>）、保險風險（</w:t>
            </w:r>
            <w:r w:rsidRPr="00EE2628">
              <w:rPr>
                <w:rFonts w:ascii="Arial" w:eastAsia="標楷體" w:hAnsi="Arial" w:cs="Arial"/>
                <w:sz w:val="28"/>
                <w:szCs w:val="28"/>
              </w:rPr>
              <w:t>Insurance Risk</w:t>
            </w:r>
            <w:r w:rsidRPr="00EE2628">
              <w:rPr>
                <w:rFonts w:ascii="Arial" w:eastAsia="標楷體" w:hAnsi="Arial" w:cs="Arial"/>
                <w:sz w:val="28"/>
                <w:szCs w:val="28"/>
              </w:rPr>
              <w:t>）、資產負債配合風險（</w:t>
            </w:r>
            <w:r w:rsidRPr="00EE2628">
              <w:rPr>
                <w:rFonts w:ascii="Arial" w:eastAsia="標楷體" w:hAnsi="Arial" w:cs="Arial"/>
                <w:sz w:val="28"/>
                <w:szCs w:val="28"/>
              </w:rPr>
              <w:t>Asset Liability Matching</w:t>
            </w:r>
            <w:r w:rsidRPr="00EE2628">
              <w:rPr>
                <w:rFonts w:ascii="Arial" w:eastAsia="標楷體" w:hAnsi="Arial" w:cs="Arial"/>
                <w:sz w:val="28"/>
                <w:szCs w:val="28"/>
              </w:rPr>
              <w:t>）及氣候變遷風險（</w:t>
            </w:r>
            <w:r w:rsidRPr="00EE2628">
              <w:rPr>
                <w:rFonts w:ascii="Arial" w:eastAsia="標楷體" w:hAnsi="Arial" w:cs="Arial"/>
                <w:sz w:val="28"/>
                <w:szCs w:val="28"/>
              </w:rPr>
              <w:t>Climate Change Risk</w:t>
            </w:r>
            <w:r w:rsidRPr="00EE2628">
              <w:rPr>
                <w:rFonts w:ascii="Arial" w:eastAsia="標楷體" w:hAnsi="Arial" w:cs="Arial"/>
                <w:sz w:val="28"/>
                <w:szCs w:val="28"/>
              </w:rPr>
              <w:t>）等</w:t>
            </w:r>
          </w:p>
        </w:tc>
        <w:tc>
          <w:tcPr>
            <w:tcW w:w="3308" w:type="dxa"/>
          </w:tcPr>
          <w:p w14:paraId="72E83C9B" w14:textId="77777777" w:rsidR="00B820C5" w:rsidRPr="00EE2628" w:rsidRDefault="00B820C5" w:rsidP="00FA6F58">
            <w:pPr>
              <w:pStyle w:val="a8"/>
              <w:numPr>
                <w:ilvl w:val="0"/>
                <w:numId w:val="3"/>
              </w:numPr>
              <w:spacing w:line="400" w:lineRule="exact"/>
              <w:ind w:leftChars="0"/>
              <w:jc w:val="both"/>
              <w:rPr>
                <w:rFonts w:ascii="Arial" w:eastAsia="標楷體" w:hAnsi="Arial" w:cs="Arial"/>
                <w:sz w:val="28"/>
                <w:szCs w:val="28"/>
              </w:rPr>
            </w:pPr>
            <w:r w:rsidRPr="00EE2628">
              <w:rPr>
                <w:rFonts w:ascii="Arial" w:eastAsia="標楷體" w:hAnsi="Arial" w:cs="Arial" w:hint="eastAsia"/>
                <w:sz w:val="28"/>
                <w:szCs w:val="28"/>
              </w:rPr>
              <w:t>依</w:t>
            </w:r>
            <w:r w:rsidRPr="00EE2628">
              <w:rPr>
                <w:rFonts w:ascii="Arial" w:eastAsia="標楷體" w:hAnsi="Arial" w:cs="Arial" w:hint="eastAsia"/>
                <w:sz w:val="28"/>
                <w:szCs w:val="28"/>
              </w:rPr>
              <w:t>114.1.22</w:t>
            </w:r>
            <w:r w:rsidRPr="00EE2628">
              <w:rPr>
                <w:rFonts w:ascii="Arial" w:eastAsia="標楷體" w:hAnsi="Arial" w:cs="Arial" w:hint="eastAsia"/>
                <w:sz w:val="28"/>
                <w:szCs w:val="28"/>
              </w:rPr>
              <w:t>保局</w:t>
            </w:r>
            <w:r w:rsidRPr="00EE2628">
              <w:rPr>
                <w:rFonts w:ascii="Arial" w:eastAsia="標楷體" w:hAnsi="Arial" w:cs="Arial" w:hint="eastAsia"/>
                <w:sz w:val="28"/>
                <w:szCs w:val="28"/>
              </w:rPr>
              <w:t>(</w:t>
            </w:r>
            <w:r w:rsidRPr="00EE2628">
              <w:rPr>
                <w:rFonts w:ascii="Arial" w:eastAsia="標楷體" w:hAnsi="Arial" w:cs="Arial" w:hint="eastAsia"/>
                <w:sz w:val="28"/>
                <w:szCs w:val="28"/>
              </w:rPr>
              <w:t>財</w:t>
            </w:r>
            <w:r w:rsidRPr="00EE2628">
              <w:rPr>
                <w:rFonts w:ascii="Arial" w:eastAsia="標楷體" w:hAnsi="Arial" w:cs="Arial" w:hint="eastAsia"/>
                <w:sz w:val="28"/>
                <w:szCs w:val="28"/>
              </w:rPr>
              <w:t>)</w:t>
            </w:r>
            <w:r w:rsidRPr="00EE2628">
              <w:rPr>
                <w:rFonts w:ascii="Arial" w:eastAsia="標楷體" w:hAnsi="Arial" w:cs="Arial" w:hint="eastAsia"/>
                <w:sz w:val="28"/>
                <w:szCs w:val="28"/>
              </w:rPr>
              <w:t>字第</w:t>
            </w:r>
            <w:r w:rsidRPr="00EE2628">
              <w:rPr>
                <w:rFonts w:ascii="Arial" w:eastAsia="標楷體" w:hAnsi="Arial" w:cs="Arial" w:hint="eastAsia"/>
                <w:sz w:val="28"/>
                <w:szCs w:val="28"/>
              </w:rPr>
              <w:t>1140490085</w:t>
            </w:r>
            <w:r w:rsidRPr="00EE2628">
              <w:rPr>
                <w:rFonts w:ascii="Arial" w:eastAsia="標楷體" w:hAnsi="Arial" w:cs="Arial" w:hint="eastAsia"/>
                <w:sz w:val="28"/>
                <w:szCs w:val="28"/>
              </w:rPr>
              <w:t>號函指示辦理。</w:t>
            </w:r>
          </w:p>
          <w:p w14:paraId="5269E864" w14:textId="77777777" w:rsidR="00B820C5" w:rsidRPr="00EE2628" w:rsidRDefault="00B820C5" w:rsidP="00FA6F58">
            <w:pPr>
              <w:pStyle w:val="a8"/>
              <w:numPr>
                <w:ilvl w:val="0"/>
                <w:numId w:val="3"/>
              </w:numPr>
              <w:spacing w:line="400" w:lineRule="exact"/>
              <w:ind w:leftChars="0"/>
              <w:jc w:val="both"/>
              <w:rPr>
                <w:rFonts w:ascii="Arial" w:eastAsia="標楷體" w:hAnsi="Arial" w:cs="Arial"/>
                <w:sz w:val="28"/>
                <w:szCs w:val="28"/>
              </w:rPr>
            </w:pPr>
            <w:r w:rsidRPr="00EE2628">
              <w:rPr>
                <w:rFonts w:ascii="Arial" w:eastAsia="標楷體" w:hAnsi="Arial" w:cs="Arial"/>
                <w:sz w:val="28"/>
                <w:szCs w:val="28"/>
              </w:rPr>
              <w:t>為</w:t>
            </w:r>
            <w:r>
              <w:rPr>
                <w:rFonts w:ascii="Arial" w:eastAsia="標楷體" w:hAnsi="Arial" w:cs="Arial" w:hint="eastAsia"/>
                <w:sz w:val="28"/>
                <w:szCs w:val="28"/>
              </w:rPr>
              <w:t>利</w:t>
            </w:r>
            <w:r w:rsidRPr="00EE2628">
              <w:rPr>
                <w:rFonts w:ascii="Arial" w:eastAsia="標楷體" w:hAnsi="Arial" w:cs="Arial"/>
                <w:sz w:val="28"/>
                <w:szCs w:val="28"/>
              </w:rPr>
              <w:t>公司能辨識</w:t>
            </w:r>
            <w:r w:rsidRPr="00EE2628">
              <w:rPr>
                <w:rFonts w:ascii="Arial" w:eastAsia="標楷體" w:hAnsi="Arial" w:cs="Arial" w:hint="eastAsia"/>
                <w:sz w:val="28"/>
                <w:szCs w:val="28"/>
              </w:rPr>
              <w:t>及管理</w:t>
            </w:r>
            <w:r w:rsidRPr="00EE2628">
              <w:rPr>
                <w:rFonts w:ascii="Arial" w:eastAsia="標楷體" w:hAnsi="Arial" w:cs="Arial"/>
                <w:sz w:val="28"/>
                <w:szCs w:val="28"/>
              </w:rPr>
              <w:t>其因隸屬於集團所產生</w:t>
            </w:r>
            <w:r w:rsidRPr="00EE2628">
              <w:rPr>
                <w:rFonts w:ascii="Arial" w:eastAsia="標楷體" w:hAnsi="Arial" w:cs="Arial" w:hint="eastAsia"/>
                <w:sz w:val="28"/>
                <w:szCs w:val="28"/>
              </w:rPr>
              <w:t>之</w:t>
            </w:r>
            <w:r w:rsidRPr="00EE2628">
              <w:rPr>
                <w:rFonts w:ascii="Arial" w:eastAsia="標楷體" w:hAnsi="Arial" w:cs="Arial"/>
                <w:sz w:val="28"/>
                <w:szCs w:val="28"/>
              </w:rPr>
              <w:t>風險，故</w:t>
            </w:r>
            <w:r w:rsidRPr="00EE2628">
              <w:rPr>
                <w:rFonts w:ascii="Arial" w:eastAsia="標楷體" w:hAnsi="Arial" w:cs="Arial" w:hint="eastAsia"/>
                <w:sz w:val="28"/>
                <w:szCs w:val="28"/>
              </w:rPr>
              <w:t>參考保險核心原則</w:t>
            </w:r>
            <w:r w:rsidRPr="00EE2628">
              <w:rPr>
                <w:rFonts w:ascii="Arial" w:eastAsia="標楷體" w:hAnsi="Arial" w:cs="Arial" w:hint="eastAsia"/>
                <w:sz w:val="28"/>
                <w:szCs w:val="28"/>
              </w:rPr>
              <w:t>ICP16.1.1</w:t>
            </w:r>
            <w:r w:rsidRPr="00EE2628">
              <w:rPr>
                <w:rFonts w:ascii="Arial" w:eastAsia="標楷體" w:hAnsi="Arial" w:cs="Arial" w:hint="eastAsia"/>
                <w:sz w:val="28"/>
                <w:szCs w:val="28"/>
              </w:rPr>
              <w:t>條文內容，新增</w:t>
            </w:r>
            <w:r w:rsidRPr="00EE2628">
              <w:rPr>
                <w:rFonts w:ascii="Arial" w:eastAsia="標楷體" w:hAnsi="Arial" w:cs="Arial"/>
                <w:sz w:val="28"/>
                <w:szCs w:val="28"/>
              </w:rPr>
              <w:t>集團風險項目。</w:t>
            </w:r>
          </w:p>
        </w:tc>
      </w:tr>
      <w:tr w:rsidR="00B820C5" w:rsidRPr="00EE2628" w14:paraId="16C81DF5" w14:textId="77777777" w:rsidTr="007B126F">
        <w:trPr>
          <w:jc w:val="center"/>
        </w:trPr>
        <w:tc>
          <w:tcPr>
            <w:tcW w:w="3307" w:type="dxa"/>
          </w:tcPr>
          <w:p w14:paraId="120FF88E" w14:textId="77777777" w:rsidR="00B820C5" w:rsidRPr="003F3982" w:rsidRDefault="00B820C5" w:rsidP="00FA6F58">
            <w:pPr>
              <w:widowControl/>
              <w:spacing w:line="400" w:lineRule="exact"/>
              <w:jc w:val="both"/>
              <w:rPr>
                <w:rFonts w:ascii="Arial" w:eastAsia="標楷體" w:hAnsi="Arial" w:cs="Arial"/>
                <w:b/>
                <w:kern w:val="0"/>
                <w:sz w:val="28"/>
                <w:szCs w:val="28"/>
              </w:rPr>
            </w:pPr>
            <w:r w:rsidRPr="003F3982">
              <w:rPr>
                <w:rFonts w:ascii="Arial" w:eastAsia="標楷體" w:hAnsi="Arial" w:cs="Arial"/>
                <w:b/>
                <w:kern w:val="0"/>
                <w:sz w:val="28"/>
                <w:szCs w:val="28"/>
              </w:rPr>
              <w:t>5.3.2</w:t>
            </w:r>
            <w:r w:rsidRPr="003F3982">
              <w:rPr>
                <w:rFonts w:ascii="Arial" w:eastAsia="標楷體" w:hAnsi="Arial" w:cs="Arial"/>
                <w:b/>
                <w:kern w:val="0"/>
                <w:sz w:val="28"/>
                <w:szCs w:val="28"/>
              </w:rPr>
              <w:t>資金流動性風險管理</w:t>
            </w:r>
          </w:p>
          <w:p w14:paraId="09BF2C8A" w14:textId="77777777" w:rsidR="00B820C5" w:rsidRPr="003F3982" w:rsidRDefault="00B820C5" w:rsidP="00FA6F58">
            <w:pPr>
              <w:widowControl/>
              <w:numPr>
                <w:ilvl w:val="0"/>
                <w:numId w:val="20"/>
              </w:numPr>
              <w:tabs>
                <w:tab w:val="clear" w:pos="480"/>
              </w:tabs>
              <w:spacing w:line="400" w:lineRule="exact"/>
              <w:ind w:left="314" w:hangingChars="112" w:hanging="314"/>
              <w:jc w:val="both"/>
              <w:rPr>
                <w:rFonts w:ascii="Arial" w:eastAsia="標楷體" w:hAnsi="Arial" w:cs="Arial"/>
                <w:kern w:val="0"/>
                <w:sz w:val="28"/>
                <w:szCs w:val="28"/>
              </w:rPr>
            </w:pPr>
            <w:r w:rsidRPr="003F3982">
              <w:rPr>
                <w:rFonts w:ascii="Arial" w:eastAsia="標楷體" w:hAnsi="Arial" w:cs="Arial"/>
                <w:kern w:val="0"/>
                <w:sz w:val="28"/>
                <w:szCs w:val="28"/>
              </w:rPr>
              <w:t>保險業應依業務特性訂定資金流動性風險管理機制</w:t>
            </w:r>
            <w:r w:rsidRPr="00686D4A">
              <w:rPr>
                <w:rFonts w:ascii="Arial" w:eastAsia="標楷體" w:hAnsi="Arial" w:cs="Arial"/>
                <w:color w:val="EE0000"/>
                <w:kern w:val="0"/>
                <w:sz w:val="28"/>
                <w:szCs w:val="28"/>
                <w:u w:val="single"/>
              </w:rPr>
              <w:t>，以維持適足之流動性，並確保於日常與特定壓力情境下具備充足資金以履行其到期責任</w:t>
            </w:r>
            <w:r w:rsidRPr="003F3982">
              <w:rPr>
                <w:rFonts w:ascii="Arial" w:eastAsia="標楷體" w:hAnsi="Arial" w:cs="Arial"/>
                <w:kern w:val="0"/>
                <w:sz w:val="28"/>
                <w:szCs w:val="28"/>
              </w:rPr>
              <w:t>。</w:t>
            </w:r>
          </w:p>
          <w:p w14:paraId="061C7284" w14:textId="77777777" w:rsidR="00B820C5" w:rsidRPr="003F3982" w:rsidRDefault="00B820C5" w:rsidP="00FA6F58">
            <w:pPr>
              <w:widowControl/>
              <w:numPr>
                <w:ilvl w:val="0"/>
                <w:numId w:val="20"/>
              </w:numPr>
              <w:tabs>
                <w:tab w:val="clear" w:pos="480"/>
              </w:tabs>
              <w:spacing w:line="400" w:lineRule="exact"/>
              <w:ind w:left="318" w:hanging="318"/>
              <w:jc w:val="both"/>
              <w:rPr>
                <w:rFonts w:ascii="Arial" w:eastAsia="標楷體" w:hAnsi="Arial" w:cs="Arial"/>
                <w:kern w:val="0"/>
                <w:sz w:val="28"/>
                <w:szCs w:val="28"/>
              </w:rPr>
            </w:pPr>
            <w:r w:rsidRPr="00686D4A">
              <w:rPr>
                <w:rFonts w:ascii="Arial" w:eastAsia="標楷體" w:hAnsi="Arial" w:cs="Arial"/>
                <w:color w:val="EE0000"/>
                <w:kern w:val="0"/>
                <w:sz w:val="28"/>
                <w:szCs w:val="28"/>
                <w:u w:val="single"/>
              </w:rPr>
              <w:t>保險業應依營運策略及業務規模訂定流動性風險胃納或風險限額，並明確以質化或量化方式表達</w:t>
            </w:r>
            <w:r w:rsidRPr="003F3982">
              <w:rPr>
                <w:rFonts w:ascii="Arial" w:eastAsia="標楷體" w:hAnsi="Arial" w:cs="Arial"/>
                <w:kern w:val="0"/>
                <w:sz w:val="28"/>
                <w:szCs w:val="28"/>
              </w:rPr>
              <w:t>。</w:t>
            </w:r>
          </w:p>
          <w:p w14:paraId="0C61F744" w14:textId="77777777" w:rsidR="00B820C5" w:rsidRPr="00686D4A" w:rsidRDefault="00B820C5" w:rsidP="00FA6F58">
            <w:pPr>
              <w:widowControl/>
              <w:numPr>
                <w:ilvl w:val="0"/>
                <w:numId w:val="20"/>
              </w:numPr>
              <w:tabs>
                <w:tab w:val="clear" w:pos="480"/>
              </w:tabs>
              <w:spacing w:line="400" w:lineRule="exact"/>
              <w:ind w:left="318" w:hanging="318"/>
              <w:jc w:val="both"/>
              <w:rPr>
                <w:rFonts w:ascii="Arial" w:eastAsia="標楷體" w:hAnsi="Arial" w:cs="Arial"/>
                <w:color w:val="EE0000"/>
                <w:kern w:val="0"/>
                <w:sz w:val="28"/>
                <w:szCs w:val="28"/>
                <w:u w:val="single"/>
              </w:rPr>
            </w:pPr>
            <w:r w:rsidRPr="00686D4A">
              <w:rPr>
                <w:rFonts w:ascii="Arial" w:eastAsia="標楷體" w:hAnsi="Arial" w:cs="Arial"/>
                <w:color w:val="EE0000"/>
                <w:kern w:val="0"/>
                <w:sz w:val="28"/>
                <w:szCs w:val="28"/>
                <w:u w:val="single"/>
              </w:rPr>
              <w:t>保險業應依自身業務規模及營運特性，訂定適合之壓力測試情境，</w:t>
            </w:r>
            <w:r w:rsidRPr="00686D4A">
              <w:rPr>
                <w:rFonts w:ascii="Arial" w:eastAsia="標楷體" w:hAnsi="Arial" w:cs="Arial"/>
                <w:color w:val="EE0000"/>
                <w:kern w:val="0"/>
                <w:sz w:val="28"/>
                <w:szCs w:val="28"/>
                <w:u w:val="single"/>
              </w:rPr>
              <w:lastRenderedPageBreak/>
              <w:t>就流動性管理不足之處進行強化，並定期</w:t>
            </w:r>
            <w:r w:rsidRPr="00686D4A">
              <w:rPr>
                <w:rFonts w:ascii="Arial" w:eastAsia="標楷體" w:hAnsi="Arial" w:cs="Arial"/>
                <w:color w:val="EE0000"/>
                <w:kern w:val="0"/>
                <w:sz w:val="28"/>
                <w:szCs w:val="28"/>
                <w:u w:val="single"/>
              </w:rPr>
              <w:t>(</w:t>
            </w:r>
            <w:r w:rsidRPr="00686D4A">
              <w:rPr>
                <w:rFonts w:ascii="Arial" w:eastAsia="標楷體" w:hAnsi="Arial" w:cs="Arial"/>
                <w:color w:val="EE0000"/>
                <w:kern w:val="0"/>
                <w:sz w:val="28"/>
                <w:szCs w:val="28"/>
                <w:u w:val="single"/>
              </w:rPr>
              <w:t>至少每年一次</w:t>
            </w:r>
            <w:r w:rsidRPr="00686D4A">
              <w:rPr>
                <w:rFonts w:ascii="Arial" w:eastAsia="標楷體" w:hAnsi="Arial" w:cs="Arial"/>
                <w:color w:val="EE0000"/>
                <w:kern w:val="0"/>
                <w:sz w:val="28"/>
                <w:szCs w:val="28"/>
                <w:u w:val="single"/>
              </w:rPr>
              <w:t>)</w:t>
            </w:r>
            <w:r w:rsidRPr="00686D4A">
              <w:rPr>
                <w:rFonts w:ascii="Arial" w:eastAsia="標楷體" w:hAnsi="Arial" w:cs="Arial"/>
                <w:color w:val="EE0000"/>
                <w:kern w:val="0"/>
                <w:sz w:val="28"/>
                <w:szCs w:val="28"/>
                <w:u w:val="single"/>
              </w:rPr>
              <w:t>及評估有需要時進行壓力測試，壓力測試結果應與公司訂定之流動性風險胃納或風險限額比較，作為調整流動性風險管理機制、評估流動性緩衝之參考。</w:t>
            </w:r>
          </w:p>
          <w:p w14:paraId="25579FDB" w14:textId="77777777" w:rsidR="00B820C5" w:rsidRPr="003F3982" w:rsidRDefault="00B820C5" w:rsidP="00FA6F58">
            <w:pPr>
              <w:widowControl/>
              <w:numPr>
                <w:ilvl w:val="0"/>
                <w:numId w:val="20"/>
              </w:numPr>
              <w:tabs>
                <w:tab w:val="clear" w:pos="480"/>
              </w:tabs>
              <w:spacing w:line="400" w:lineRule="exact"/>
              <w:ind w:left="314" w:hangingChars="112" w:hanging="314"/>
              <w:jc w:val="both"/>
              <w:rPr>
                <w:rFonts w:ascii="Arial" w:eastAsia="標楷體" w:hAnsi="Arial" w:cs="Arial"/>
                <w:kern w:val="0"/>
                <w:sz w:val="28"/>
                <w:szCs w:val="28"/>
              </w:rPr>
            </w:pPr>
            <w:r w:rsidRPr="003F3982">
              <w:rPr>
                <w:rFonts w:ascii="Arial" w:eastAsia="標楷體" w:hAnsi="Arial" w:cs="Arial"/>
                <w:kern w:val="0"/>
                <w:sz w:val="28"/>
                <w:szCs w:val="28"/>
              </w:rPr>
              <w:t>保險業應設立一獨立於交易單位之資金調度單位，每日現金管理及持續性現金流量管理，並負責監控各業務單位淨現金流量。</w:t>
            </w:r>
          </w:p>
          <w:p w14:paraId="2D9C5838" w14:textId="77777777" w:rsidR="00B820C5" w:rsidRPr="003F3982" w:rsidRDefault="00B820C5" w:rsidP="00FA6F58">
            <w:pPr>
              <w:widowControl/>
              <w:numPr>
                <w:ilvl w:val="1"/>
                <w:numId w:val="20"/>
              </w:numPr>
              <w:tabs>
                <w:tab w:val="clear" w:pos="840"/>
              </w:tabs>
              <w:spacing w:line="400" w:lineRule="exact"/>
              <w:ind w:leftChars="150" w:left="780" w:hangingChars="150" w:hanging="420"/>
              <w:jc w:val="both"/>
              <w:rPr>
                <w:rFonts w:ascii="Arial" w:eastAsia="標楷體" w:hAnsi="Arial" w:cs="Arial"/>
                <w:kern w:val="0"/>
                <w:sz w:val="28"/>
                <w:szCs w:val="28"/>
              </w:rPr>
            </w:pPr>
            <w:r w:rsidRPr="003F3982">
              <w:rPr>
                <w:rFonts w:ascii="Arial" w:eastAsia="標楷體" w:hAnsi="Arial" w:cs="Arial"/>
                <w:kern w:val="0"/>
                <w:sz w:val="28"/>
                <w:szCs w:val="28"/>
              </w:rPr>
              <w:t>應綜合考量各部門對資金需求之金額與時程，進行資金管理。</w:t>
            </w:r>
          </w:p>
          <w:p w14:paraId="61F13701" w14:textId="77777777" w:rsidR="00B820C5" w:rsidRPr="003F3982" w:rsidRDefault="00B820C5" w:rsidP="00FA6F58">
            <w:pPr>
              <w:widowControl/>
              <w:numPr>
                <w:ilvl w:val="1"/>
                <w:numId w:val="20"/>
              </w:numPr>
              <w:tabs>
                <w:tab w:val="clear" w:pos="840"/>
              </w:tabs>
              <w:spacing w:line="400" w:lineRule="exact"/>
              <w:ind w:leftChars="150" w:left="780" w:hangingChars="150" w:hanging="420"/>
              <w:jc w:val="both"/>
              <w:rPr>
                <w:rFonts w:ascii="Arial" w:eastAsia="標楷體" w:hAnsi="Arial" w:cs="Arial"/>
                <w:kern w:val="0"/>
                <w:sz w:val="28"/>
                <w:szCs w:val="28"/>
              </w:rPr>
            </w:pPr>
            <w:r w:rsidRPr="003F3982">
              <w:rPr>
                <w:rFonts w:ascii="Arial" w:eastAsia="標楷體" w:hAnsi="Arial" w:cs="Arial"/>
                <w:kern w:val="0"/>
                <w:sz w:val="28"/>
                <w:szCs w:val="28"/>
              </w:rPr>
              <w:t>資金調度單位需與業務單位及相關部門保持密切聯繫，並針對個別交易之資金使用狀況，與結算交割相關部門相互溝通。</w:t>
            </w:r>
          </w:p>
          <w:p w14:paraId="7DD81952" w14:textId="77777777" w:rsidR="00B820C5" w:rsidRPr="007E4826" w:rsidRDefault="00B820C5" w:rsidP="00FA6F58">
            <w:pPr>
              <w:widowControl/>
              <w:numPr>
                <w:ilvl w:val="0"/>
                <w:numId w:val="20"/>
              </w:numPr>
              <w:tabs>
                <w:tab w:val="clear" w:pos="480"/>
              </w:tabs>
              <w:spacing w:line="400" w:lineRule="exact"/>
              <w:ind w:left="420" w:hangingChars="150" w:hanging="420"/>
              <w:jc w:val="both"/>
              <w:rPr>
                <w:rFonts w:ascii="Arial" w:eastAsia="標楷體" w:hAnsi="Arial" w:cs="Arial"/>
                <w:sz w:val="28"/>
                <w:szCs w:val="28"/>
              </w:rPr>
            </w:pPr>
            <w:r w:rsidRPr="003F3982">
              <w:rPr>
                <w:rFonts w:ascii="Arial" w:eastAsia="標楷體" w:hAnsi="Arial" w:cs="Arial"/>
                <w:kern w:val="0"/>
                <w:sz w:val="28"/>
                <w:szCs w:val="28"/>
              </w:rPr>
              <w:t>資金流動性除應考慮本國短期資金調度外，亦需考量跨國或跨市場之資金流量調度。</w:t>
            </w:r>
          </w:p>
          <w:p w14:paraId="66505792" w14:textId="77777777" w:rsidR="00B820C5" w:rsidRPr="007E4826" w:rsidRDefault="00B820C5" w:rsidP="00FA6F58">
            <w:pPr>
              <w:widowControl/>
              <w:numPr>
                <w:ilvl w:val="0"/>
                <w:numId w:val="20"/>
              </w:numPr>
              <w:tabs>
                <w:tab w:val="clear" w:pos="480"/>
              </w:tabs>
              <w:spacing w:line="400" w:lineRule="exact"/>
              <w:ind w:left="420" w:hangingChars="150" w:hanging="420"/>
              <w:jc w:val="both"/>
              <w:rPr>
                <w:rFonts w:ascii="Arial" w:eastAsia="標楷體" w:hAnsi="Arial" w:cs="Arial"/>
                <w:sz w:val="28"/>
                <w:szCs w:val="28"/>
              </w:rPr>
            </w:pPr>
            <w:r w:rsidRPr="007E4826">
              <w:rPr>
                <w:rFonts w:ascii="Arial" w:eastAsia="標楷體" w:hAnsi="Arial" w:cs="Arial"/>
                <w:kern w:val="0"/>
                <w:sz w:val="28"/>
                <w:szCs w:val="28"/>
              </w:rPr>
              <w:t>保險業</w:t>
            </w:r>
            <w:r w:rsidRPr="00686D4A">
              <w:rPr>
                <w:rFonts w:ascii="Arial" w:eastAsia="標楷體" w:hAnsi="Arial" w:cs="Arial"/>
                <w:color w:val="EE0000"/>
                <w:kern w:val="0"/>
                <w:sz w:val="28"/>
                <w:szCs w:val="28"/>
                <w:u w:val="single"/>
              </w:rPr>
              <w:t>應依業務特性評估與監控短期現金流量需求，並</w:t>
            </w:r>
            <w:r w:rsidRPr="007E4826">
              <w:rPr>
                <w:rFonts w:ascii="Arial" w:eastAsia="標楷體" w:hAnsi="Arial" w:cs="Arial"/>
                <w:kern w:val="0"/>
                <w:sz w:val="28"/>
                <w:szCs w:val="28"/>
              </w:rPr>
              <w:t>宜採用現金流量模型，以評估及</w:t>
            </w:r>
            <w:r w:rsidRPr="007E4826">
              <w:rPr>
                <w:rFonts w:ascii="Arial" w:eastAsia="標楷體" w:hAnsi="Arial" w:cs="Arial"/>
                <w:kern w:val="0"/>
                <w:sz w:val="28"/>
                <w:szCs w:val="28"/>
              </w:rPr>
              <w:lastRenderedPageBreak/>
              <w:t>監控公司之中、長期現金流量變化情形。</w:t>
            </w:r>
          </w:p>
        </w:tc>
        <w:tc>
          <w:tcPr>
            <w:tcW w:w="3308" w:type="dxa"/>
          </w:tcPr>
          <w:p w14:paraId="333C74C0" w14:textId="77777777" w:rsidR="00B820C5" w:rsidRPr="003F3982" w:rsidRDefault="00B820C5" w:rsidP="00FA6F58">
            <w:pPr>
              <w:widowControl/>
              <w:spacing w:line="400" w:lineRule="exact"/>
              <w:jc w:val="both"/>
              <w:rPr>
                <w:rFonts w:ascii="Arial" w:eastAsia="標楷體" w:hAnsi="Arial" w:cs="Arial"/>
                <w:b/>
                <w:kern w:val="0"/>
                <w:sz w:val="28"/>
                <w:szCs w:val="28"/>
              </w:rPr>
            </w:pPr>
            <w:r w:rsidRPr="003F3982">
              <w:rPr>
                <w:rFonts w:ascii="Arial" w:eastAsia="標楷體" w:hAnsi="Arial" w:cs="Arial"/>
                <w:b/>
                <w:kern w:val="0"/>
                <w:sz w:val="28"/>
                <w:szCs w:val="28"/>
              </w:rPr>
              <w:lastRenderedPageBreak/>
              <w:t>5.3.2</w:t>
            </w:r>
            <w:r w:rsidRPr="003F3982">
              <w:rPr>
                <w:rFonts w:ascii="Arial" w:eastAsia="標楷體" w:hAnsi="Arial" w:cs="Arial"/>
                <w:b/>
                <w:kern w:val="0"/>
                <w:sz w:val="28"/>
                <w:szCs w:val="28"/>
              </w:rPr>
              <w:t>資金流動性風險管理</w:t>
            </w:r>
          </w:p>
          <w:p w14:paraId="3157B521" w14:textId="77777777" w:rsidR="00B820C5" w:rsidRPr="003F3982" w:rsidRDefault="00B820C5" w:rsidP="00FA6F58">
            <w:pPr>
              <w:widowControl/>
              <w:numPr>
                <w:ilvl w:val="0"/>
                <w:numId w:val="21"/>
              </w:numPr>
              <w:tabs>
                <w:tab w:val="clear" w:pos="480"/>
              </w:tabs>
              <w:spacing w:line="400" w:lineRule="exact"/>
              <w:ind w:left="277" w:hanging="349"/>
              <w:jc w:val="both"/>
              <w:rPr>
                <w:rFonts w:ascii="Arial" w:eastAsia="標楷體" w:hAnsi="Arial" w:cs="Arial"/>
                <w:kern w:val="0"/>
                <w:sz w:val="28"/>
                <w:szCs w:val="28"/>
              </w:rPr>
            </w:pPr>
            <w:r w:rsidRPr="003F3982">
              <w:rPr>
                <w:rFonts w:ascii="Arial" w:eastAsia="標楷體" w:hAnsi="Arial" w:cs="Arial"/>
                <w:kern w:val="0"/>
                <w:sz w:val="28"/>
                <w:szCs w:val="28"/>
              </w:rPr>
              <w:t>保險業應依業務特性</w:t>
            </w:r>
            <w:r w:rsidRPr="00686D4A">
              <w:rPr>
                <w:rFonts w:ascii="Arial" w:eastAsia="標楷體" w:hAnsi="Arial" w:cs="Arial"/>
                <w:color w:val="EE0000"/>
                <w:kern w:val="0"/>
                <w:sz w:val="28"/>
                <w:szCs w:val="28"/>
                <w:u w:val="single"/>
              </w:rPr>
              <w:t>評估與監控短期現金流量需求，並</w:t>
            </w:r>
            <w:r w:rsidRPr="003F3982">
              <w:rPr>
                <w:rFonts w:ascii="Arial" w:eastAsia="標楷體" w:hAnsi="Arial" w:cs="Arial"/>
                <w:kern w:val="0"/>
                <w:sz w:val="28"/>
                <w:szCs w:val="28"/>
              </w:rPr>
              <w:t>訂定資金流動性風險管理機制</w:t>
            </w:r>
            <w:r w:rsidRPr="00686D4A">
              <w:rPr>
                <w:rFonts w:ascii="Arial" w:eastAsia="標楷體" w:hAnsi="Arial" w:cs="Arial"/>
                <w:color w:val="EE0000"/>
                <w:kern w:val="0"/>
                <w:sz w:val="28"/>
                <w:szCs w:val="28"/>
                <w:u w:val="single"/>
              </w:rPr>
              <w:t>，以因應未來之資金調度</w:t>
            </w:r>
            <w:r w:rsidRPr="003F3982">
              <w:rPr>
                <w:rFonts w:ascii="Arial" w:eastAsia="標楷體" w:hAnsi="Arial" w:cs="Arial"/>
                <w:kern w:val="0"/>
                <w:sz w:val="28"/>
                <w:szCs w:val="28"/>
              </w:rPr>
              <w:t>。</w:t>
            </w:r>
          </w:p>
          <w:p w14:paraId="0CCC827E" w14:textId="77777777" w:rsidR="00B820C5" w:rsidRPr="003F3982" w:rsidRDefault="00B820C5" w:rsidP="00FA6F58">
            <w:pPr>
              <w:widowControl/>
              <w:spacing w:line="400" w:lineRule="exact"/>
              <w:jc w:val="both"/>
              <w:rPr>
                <w:rFonts w:ascii="Arial" w:eastAsia="標楷體" w:hAnsi="Arial" w:cs="Arial"/>
                <w:kern w:val="0"/>
                <w:sz w:val="28"/>
                <w:szCs w:val="28"/>
              </w:rPr>
            </w:pPr>
          </w:p>
          <w:p w14:paraId="1CB6C489" w14:textId="77777777" w:rsidR="00B820C5" w:rsidRPr="003F3982" w:rsidRDefault="00B820C5" w:rsidP="00FA6F58">
            <w:pPr>
              <w:widowControl/>
              <w:spacing w:line="400" w:lineRule="exact"/>
              <w:jc w:val="both"/>
              <w:rPr>
                <w:rFonts w:ascii="Arial" w:eastAsia="標楷體" w:hAnsi="Arial" w:cs="Arial"/>
                <w:kern w:val="0"/>
                <w:sz w:val="28"/>
                <w:szCs w:val="28"/>
              </w:rPr>
            </w:pPr>
          </w:p>
          <w:p w14:paraId="2A9E8E6B" w14:textId="77777777" w:rsidR="00B820C5" w:rsidRPr="003F3982" w:rsidRDefault="00B820C5" w:rsidP="00FA6F58">
            <w:pPr>
              <w:widowControl/>
              <w:spacing w:line="400" w:lineRule="exact"/>
              <w:jc w:val="both"/>
              <w:rPr>
                <w:rFonts w:ascii="Arial" w:eastAsia="標楷體" w:hAnsi="Arial" w:cs="Arial"/>
                <w:kern w:val="0"/>
                <w:sz w:val="28"/>
                <w:szCs w:val="28"/>
              </w:rPr>
            </w:pPr>
          </w:p>
          <w:p w14:paraId="1FCA5FC3" w14:textId="77777777" w:rsidR="00B820C5" w:rsidRPr="003F3982" w:rsidRDefault="00B820C5" w:rsidP="00FA6F58">
            <w:pPr>
              <w:widowControl/>
              <w:spacing w:line="400" w:lineRule="exact"/>
              <w:jc w:val="both"/>
              <w:rPr>
                <w:rFonts w:ascii="Arial" w:eastAsia="標楷體" w:hAnsi="Arial" w:cs="Arial"/>
                <w:kern w:val="0"/>
                <w:sz w:val="28"/>
                <w:szCs w:val="28"/>
              </w:rPr>
            </w:pPr>
          </w:p>
          <w:p w14:paraId="31C87ADB" w14:textId="77777777" w:rsidR="00B820C5" w:rsidRPr="003F3982" w:rsidRDefault="00B820C5" w:rsidP="00FA6F58">
            <w:pPr>
              <w:widowControl/>
              <w:spacing w:line="400" w:lineRule="exact"/>
              <w:jc w:val="both"/>
              <w:rPr>
                <w:rFonts w:ascii="Arial" w:eastAsia="標楷體" w:hAnsi="Arial" w:cs="Arial"/>
                <w:kern w:val="0"/>
                <w:sz w:val="28"/>
                <w:szCs w:val="28"/>
              </w:rPr>
            </w:pPr>
          </w:p>
          <w:p w14:paraId="731DF42E" w14:textId="77777777" w:rsidR="00B820C5" w:rsidRPr="003F3982" w:rsidRDefault="00B820C5" w:rsidP="00FA6F58">
            <w:pPr>
              <w:widowControl/>
              <w:spacing w:line="400" w:lineRule="exact"/>
              <w:jc w:val="both"/>
              <w:rPr>
                <w:rFonts w:ascii="Arial" w:eastAsia="標楷體" w:hAnsi="Arial" w:cs="Arial"/>
                <w:kern w:val="0"/>
                <w:sz w:val="28"/>
                <w:szCs w:val="28"/>
              </w:rPr>
            </w:pPr>
          </w:p>
          <w:p w14:paraId="5F2D73A2" w14:textId="77777777" w:rsidR="00B820C5" w:rsidRDefault="00B820C5" w:rsidP="00FA6F58">
            <w:pPr>
              <w:widowControl/>
              <w:spacing w:line="400" w:lineRule="exact"/>
              <w:jc w:val="both"/>
              <w:rPr>
                <w:rFonts w:ascii="Arial" w:eastAsia="標楷體" w:hAnsi="Arial" w:cs="Arial"/>
                <w:kern w:val="0"/>
                <w:sz w:val="28"/>
                <w:szCs w:val="28"/>
              </w:rPr>
            </w:pPr>
          </w:p>
          <w:p w14:paraId="6DB9EF7B" w14:textId="77777777" w:rsidR="00B820C5" w:rsidRDefault="00B820C5" w:rsidP="00FA6F58">
            <w:pPr>
              <w:widowControl/>
              <w:spacing w:line="400" w:lineRule="exact"/>
              <w:jc w:val="both"/>
              <w:rPr>
                <w:rFonts w:ascii="Arial" w:eastAsia="標楷體" w:hAnsi="Arial" w:cs="Arial"/>
                <w:kern w:val="0"/>
                <w:sz w:val="28"/>
                <w:szCs w:val="28"/>
              </w:rPr>
            </w:pPr>
          </w:p>
          <w:p w14:paraId="11253587" w14:textId="77777777" w:rsidR="00B820C5" w:rsidRDefault="00B820C5" w:rsidP="00FA6F58">
            <w:pPr>
              <w:widowControl/>
              <w:spacing w:line="400" w:lineRule="exact"/>
              <w:jc w:val="both"/>
              <w:rPr>
                <w:rFonts w:ascii="Arial" w:eastAsia="標楷體" w:hAnsi="Arial" w:cs="Arial"/>
                <w:kern w:val="0"/>
                <w:sz w:val="28"/>
                <w:szCs w:val="28"/>
              </w:rPr>
            </w:pPr>
          </w:p>
          <w:p w14:paraId="5B8328A0" w14:textId="77777777" w:rsidR="00B820C5" w:rsidRPr="003F3982" w:rsidRDefault="00B820C5" w:rsidP="00FA6F58">
            <w:pPr>
              <w:widowControl/>
              <w:spacing w:line="400" w:lineRule="exact"/>
              <w:jc w:val="both"/>
              <w:rPr>
                <w:rFonts w:ascii="Arial" w:eastAsia="標楷體" w:hAnsi="Arial" w:cs="Arial"/>
                <w:kern w:val="0"/>
                <w:sz w:val="28"/>
                <w:szCs w:val="28"/>
              </w:rPr>
            </w:pPr>
          </w:p>
          <w:p w14:paraId="51BA5EE3" w14:textId="77777777" w:rsidR="00B820C5" w:rsidRPr="003F3982" w:rsidRDefault="00B820C5" w:rsidP="00FA6F58">
            <w:pPr>
              <w:widowControl/>
              <w:spacing w:line="400" w:lineRule="exact"/>
              <w:jc w:val="both"/>
              <w:rPr>
                <w:rFonts w:ascii="Arial" w:eastAsia="標楷體" w:hAnsi="Arial" w:cs="Arial"/>
                <w:kern w:val="0"/>
                <w:sz w:val="28"/>
                <w:szCs w:val="28"/>
              </w:rPr>
            </w:pPr>
          </w:p>
          <w:p w14:paraId="75D6FF5B" w14:textId="77777777" w:rsidR="00B820C5" w:rsidRPr="003F3982" w:rsidRDefault="00B820C5" w:rsidP="00FA6F58">
            <w:pPr>
              <w:widowControl/>
              <w:spacing w:line="400" w:lineRule="exact"/>
              <w:jc w:val="both"/>
              <w:rPr>
                <w:rFonts w:ascii="Arial" w:eastAsia="標楷體" w:hAnsi="Arial" w:cs="Arial"/>
                <w:kern w:val="0"/>
                <w:sz w:val="28"/>
                <w:szCs w:val="28"/>
              </w:rPr>
            </w:pPr>
          </w:p>
          <w:p w14:paraId="540F3E8B" w14:textId="77777777" w:rsidR="00B820C5" w:rsidRPr="003F3982" w:rsidRDefault="00B820C5" w:rsidP="00FA6F58">
            <w:pPr>
              <w:widowControl/>
              <w:spacing w:line="400" w:lineRule="exact"/>
              <w:jc w:val="both"/>
              <w:rPr>
                <w:rFonts w:ascii="Arial" w:eastAsia="標楷體" w:hAnsi="Arial" w:cs="Arial"/>
                <w:kern w:val="0"/>
                <w:sz w:val="28"/>
                <w:szCs w:val="28"/>
              </w:rPr>
            </w:pPr>
          </w:p>
          <w:p w14:paraId="67DF3755" w14:textId="77777777" w:rsidR="00B820C5" w:rsidRPr="003F3982" w:rsidRDefault="00B820C5" w:rsidP="00FA6F58">
            <w:pPr>
              <w:widowControl/>
              <w:spacing w:line="400" w:lineRule="exact"/>
              <w:jc w:val="both"/>
              <w:rPr>
                <w:rFonts w:ascii="Arial" w:eastAsia="標楷體" w:hAnsi="Arial" w:cs="Arial"/>
                <w:kern w:val="0"/>
                <w:sz w:val="28"/>
                <w:szCs w:val="28"/>
              </w:rPr>
            </w:pPr>
          </w:p>
          <w:p w14:paraId="795A93BD" w14:textId="77777777" w:rsidR="00B820C5" w:rsidRDefault="00B820C5" w:rsidP="00FA6F58">
            <w:pPr>
              <w:widowControl/>
              <w:spacing w:line="400" w:lineRule="exact"/>
              <w:jc w:val="both"/>
              <w:rPr>
                <w:rFonts w:ascii="Arial" w:eastAsia="標楷體" w:hAnsi="Arial" w:cs="Arial"/>
                <w:kern w:val="0"/>
                <w:sz w:val="28"/>
                <w:szCs w:val="28"/>
              </w:rPr>
            </w:pPr>
          </w:p>
          <w:p w14:paraId="22E2AE07" w14:textId="77777777" w:rsidR="00B820C5" w:rsidRPr="003F3982" w:rsidRDefault="00B820C5" w:rsidP="00FA6F58">
            <w:pPr>
              <w:widowControl/>
              <w:spacing w:line="400" w:lineRule="exact"/>
              <w:jc w:val="both"/>
              <w:rPr>
                <w:rFonts w:ascii="Arial" w:eastAsia="標楷體" w:hAnsi="Arial" w:cs="Arial"/>
                <w:kern w:val="0"/>
                <w:sz w:val="28"/>
                <w:szCs w:val="28"/>
              </w:rPr>
            </w:pPr>
          </w:p>
          <w:p w14:paraId="6D3AF977" w14:textId="77777777" w:rsidR="00B820C5" w:rsidRPr="003F3982" w:rsidRDefault="00B820C5" w:rsidP="00FA6F58">
            <w:pPr>
              <w:widowControl/>
              <w:spacing w:line="400" w:lineRule="exact"/>
              <w:jc w:val="both"/>
              <w:rPr>
                <w:rFonts w:ascii="Arial" w:eastAsia="標楷體" w:hAnsi="Arial" w:cs="Arial"/>
                <w:kern w:val="0"/>
                <w:sz w:val="28"/>
                <w:szCs w:val="28"/>
              </w:rPr>
            </w:pPr>
          </w:p>
          <w:p w14:paraId="0A81298B" w14:textId="77777777" w:rsidR="00B820C5" w:rsidRPr="003F3982" w:rsidRDefault="00B820C5" w:rsidP="00FA6F58">
            <w:pPr>
              <w:widowControl/>
              <w:spacing w:line="400" w:lineRule="exact"/>
              <w:jc w:val="both"/>
              <w:rPr>
                <w:rFonts w:ascii="Arial" w:eastAsia="標楷體" w:hAnsi="Arial" w:cs="Arial"/>
                <w:kern w:val="0"/>
                <w:sz w:val="28"/>
                <w:szCs w:val="28"/>
              </w:rPr>
            </w:pPr>
          </w:p>
          <w:p w14:paraId="18236EC6" w14:textId="77777777" w:rsidR="00B820C5" w:rsidRPr="003F3982" w:rsidRDefault="00B820C5" w:rsidP="00FA6F58">
            <w:pPr>
              <w:widowControl/>
              <w:spacing w:line="400" w:lineRule="exact"/>
              <w:jc w:val="both"/>
              <w:rPr>
                <w:rFonts w:ascii="Arial" w:eastAsia="標楷體" w:hAnsi="Arial" w:cs="Arial"/>
                <w:kern w:val="0"/>
                <w:sz w:val="28"/>
                <w:szCs w:val="28"/>
              </w:rPr>
            </w:pPr>
          </w:p>
          <w:p w14:paraId="225D5B07" w14:textId="77777777" w:rsidR="00B820C5" w:rsidRPr="003F3982" w:rsidRDefault="00B820C5" w:rsidP="00FA6F58">
            <w:pPr>
              <w:widowControl/>
              <w:spacing w:line="400" w:lineRule="exact"/>
              <w:jc w:val="both"/>
              <w:rPr>
                <w:rFonts w:ascii="Arial" w:eastAsia="標楷體" w:hAnsi="Arial" w:cs="Arial"/>
                <w:kern w:val="0"/>
                <w:sz w:val="28"/>
                <w:szCs w:val="28"/>
              </w:rPr>
            </w:pPr>
          </w:p>
          <w:p w14:paraId="7279DEC0" w14:textId="77777777" w:rsidR="00B820C5" w:rsidRPr="003F3982" w:rsidRDefault="00B820C5" w:rsidP="00FA6F58">
            <w:pPr>
              <w:widowControl/>
              <w:numPr>
                <w:ilvl w:val="0"/>
                <w:numId w:val="21"/>
              </w:numPr>
              <w:tabs>
                <w:tab w:val="clear" w:pos="480"/>
              </w:tabs>
              <w:spacing w:line="400" w:lineRule="exact"/>
              <w:ind w:left="420" w:hangingChars="150" w:hanging="420"/>
              <w:jc w:val="both"/>
              <w:rPr>
                <w:rFonts w:ascii="Arial" w:eastAsia="標楷體" w:hAnsi="Arial" w:cs="Arial"/>
                <w:kern w:val="0"/>
                <w:sz w:val="28"/>
                <w:szCs w:val="28"/>
              </w:rPr>
            </w:pPr>
            <w:r w:rsidRPr="003F3982">
              <w:rPr>
                <w:rFonts w:ascii="Arial" w:eastAsia="標楷體" w:hAnsi="Arial" w:cs="Arial"/>
                <w:kern w:val="0"/>
                <w:sz w:val="28"/>
                <w:szCs w:val="28"/>
              </w:rPr>
              <w:t>保險業應設立一獨立於交易單位之資金調度單位，每日現金管理及持續性現金流量管理，並負責監控各業務單位淨現金流量。</w:t>
            </w:r>
          </w:p>
          <w:p w14:paraId="48636954" w14:textId="77777777" w:rsidR="00B820C5" w:rsidRPr="003F3982" w:rsidRDefault="00B820C5" w:rsidP="00FA6F58">
            <w:pPr>
              <w:widowControl/>
              <w:numPr>
                <w:ilvl w:val="1"/>
                <w:numId w:val="21"/>
              </w:numPr>
              <w:tabs>
                <w:tab w:val="clear" w:pos="840"/>
              </w:tabs>
              <w:spacing w:line="400" w:lineRule="exact"/>
              <w:ind w:leftChars="150" w:left="780" w:hangingChars="150" w:hanging="420"/>
              <w:jc w:val="both"/>
              <w:rPr>
                <w:rFonts w:ascii="Arial" w:eastAsia="標楷體" w:hAnsi="Arial" w:cs="Arial"/>
                <w:kern w:val="0"/>
                <w:sz w:val="28"/>
                <w:szCs w:val="28"/>
              </w:rPr>
            </w:pPr>
            <w:r w:rsidRPr="003F3982">
              <w:rPr>
                <w:rFonts w:ascii="Arial" w:eastAsia="標楷體" w:hAnsi="Arial" w:cs="Arial"/>
                <w:kern w:val="0"/>
                <w:sz w:val="28"/>
                <w:szCs w:val="28"/>
              </w:rPr>
              <w:t>應綜合考量各部門對資金需求之金額與時程，進行資金管理。</w:t>
            </w:r>
          </w:p>
          <w:p w14:paraId="28CCA5D7" w14:textId="77777777" w:rsidR="00B820C5" w:rsidRPr="003F3982" w:rsidRDefault="00B820C5" w:rsidP="00FA6F58">
            <w:pPr>
              <w:widowControl/>
              <w:numPr>
                <w:ilvl w:val="1"/>
                <w:numId w:val="21"/>
              </w:numPr>
              <w:tabs>
                <w:tab w:val="clear" w:pos="840"/>
              </w:tabs>
              <w:spacing w:line="400" w:lineRule="exact"/>
              <w:ind w:leftChars="150" w:left="780" w:hangingChars="150" w:hanging="420"/>
              <w:jc w:val="both"/>
              <w:rPr>
                <w:rFonts w:ascii="Arial" w:eastAsia="標楷體" w:hAnsi="Arial" w:cs="Arial"/>
                <w:kern w:val="0"/>
                <w:sz w:val="28"/>
                <w:szCs w:val="28"/>
              </w:rPr>
            </w:pPr>
            <w:r w:rsidRPr="003F3982">
              <w:rPr>
                <w:rFonts w:ascii="Arial" w:eastAsia="標楷體" w:hAnsi="Arial" w:cs="Arial"/>
                <w:kern w:val="0"/>
                <w:sz w:val="28"/>
                <w:szCs w:val="28"/>
              </w:rPr>
              <w:t>資金調度單位需與業務單位及相關部門保持密切聯繫，並針對個別交易之資金使用狀況，與結算交割相關部門相互溝通。</w:t>
            </w:r>
          </w:p>
          <w:p w14:paraId="4E02F947" w14:textId="77777777" w:rsidR="00B820C5" w:rsidRPr="007E4826" w:rsidRDefault="00B820C5" w:rsidP="00FA6F58">
            <w:pPr>
              <w:widowControl/>
              <w:numPr>
                <w:ilvl w:val="0"/>
                <w:numId w:val="21"/>
              </w:numPr>
              <w:spacing w:line="400" w:lineRule="exact"/>
              <w:ind w:left="420" w:hangingChars="150" w:hanging="420"/>
              <w:jc w:val="both"/>
              <w:rPr>
                <w:rFonts w:ascii="Arial" w:eastAsia="標楷體" w:hAnsi="Arial" w:cs="Arial"/>
                <w:sz w:val="28"/>
                <w:szCs w:val="28"/>
              </w:rPr>
            </w:pPr>
            <w:r w:rsidRPr="003F3982">
              <w:rPr>
                <w:rFonts w:ascii="Arial" w:eastAsia="標楷體" w:hAnsi="Arial" w:cs="Arial"/>
                <w:kern w:val="0"/>
                <w:sz w:val="28"/>
                <w:szCs w:val="28"/>
              </w:rPr>
              <w:t>資金流動性除應考慮本國短期資金調度外，亦需考量跨國或跨市場之資金流量調度。</w:t>
            </w:r>
          </w:p>
          <w:p w14:paraId="63220044" w14:textId="77777777" w:rsidR="00B820C5" w:rsidRPr="007E4826" w:rsidRDefault="00B820C5" w:rsidP="00FA6F58">
            <w:pPr>
              <w:widowControl/>
              <w:numPr>
                <w:ilvl w:val="0"/>
                <w:numId w:val="21"/>
              </w:numPr>
              <w:spacing w:line="400" w:lineRule="exact"/>
              <w:ind w:left="420" w:hangingChars="150" w:hanging="420"/>
              <w:jc w:val="both"/>
              <w:rPr>
                <w:rFonts w:ascii="Arial" w:eastAsia="標楷體" w:hAnsi="Arial" w:cs="Arial"/>
                <w:sz w:val="28"/>
                <w:szCs w:val="28"/>
              </w:rPr>
            </w:pPr>
            <w:r w:rsidRPr="007E4826">
              <w:rPr>
                <w:rFonts w:ascii="Arial" w:eastAsia="標楷體" w:hAnsi="Arial" w:cs="Arial"/>
                <w:kern w:val="0"/>
                <w:sz w:val="28"/>
                <w:szCs w:val="28"/>
              </w:rPr>
              <w:t>保險業宜採用現金流量模型，以評估及監控公司之中、長期現金流量變化情形。</w:t>
            </w:r>
          </w:p>
        </w:tc>
        <w:tc>
          <w:tcPr>
            <w:tcW w:w="3308" w:type="dxa"/>
          </w:tcPr>
          <w:p w14:paraId="2A712AFD" w14:textId="77777777" w:rsidR="00B820C5" w:rsidRPr="003F3982" w:rsidRDefault="00B820C5" w:rsidP="00FA6F58">
            <w:pPr>
              <w:pStyle w:val="a8"/>
              <w:numPr>
                <w:ilvl w:val="0"/>
                <w:numId w:val="22"/>
              </w:numPr>
              <w:spacing w:line="400" w:lineRule="exact"/>
              <w:ind w:leftChars="0" w:left="369" w:hanging="369"/>
              <w:jc w:val="both"/>
              <w:rPr>
                <w:rFonts w:ascii="Arial" w:eastAsia="標楷體" w:hAnsi="Arial" w:cs="Arial"/>
                <w:sz w:val="28"/>
                <w:szCs w:val="28"/>
              </w:rPr>
            </w:pPr>
            <w:r w:rsidRPr="003F3982">
              <w:rPr>
                <w:rFonts w:ascii="Arial" w:eastAsia="標楷體" w:hAnsi="Arial" w:cs="Arial"/>
                <w:sz w:val="28"/>
                <w:szCs w:val="28"/>
              </w:rPr>
              <w:lastRenderedPageBreak/>
              <w:t>參考我國銀行業「銀行流動性風險管理自律規範」第五條、第六條、第二十二條；國際保險監理官協會</w:t>
            </w:r>
            <w:r w:rsidRPr="003F3982">
              <w:rPr>
                <w:rFonts w:ascii="Arial" w:eastAsia="標楷體" w:hAnsi="Arial" w:cs="Arial"/>
                <w:sz w:val="28"/>
                <w:szCs w:val="28"/>
              </w:rPr>
              <w:t>(IAIS)</w:t>
            </w:r>
            <w:r w:rsidRPr="003F3982">
              <w:rPr>
                <w:rFonts w:ascii="Arial" w:eastAsia="標楷體" w:hAnsi="Arial" w:cs="Arial"/>
                <w:sz w:val="28"/>
                <w:szCs w:val="28"/>
              </w:rPr>
              <w:t>保險核心原則</w:t>
            </w:r>
            <w:r w:rsidRPr="003F3982">
              <w:rPr>
                <w:rFonts w:ascii="Arial" w:eastAsia="標楷體" w:hAnsi="Arial" w:cs="Arial"/>
                <w:sz w:val="28"/>
                <w:szCs w:val="28"/>
              </w:rPr>
              <w:t>(ICP)</w:t>
            </w:r>
            <w:r w:rsidRPr="003F3982">
              <w:rPr>
                <w:rFonts w:ascii="Arial" w:eastAsia="標楷體" w:hAnsi="Arial" w:cs="Arial"/>
                <w:sz w:val="28"/>
                <w:szCs w:val="28"/>
              </w:rPr>
              <w:t>條文</w:t>
            </w:r>
            <w:r w:rsidRPr="003F3982">
              <w:rPr>
                <w:rFonts w:ascii="Arial" w:eastAsia="標楷體" w:hAnsi="Arial" w:cs="Arial"/>
                <w:sz w:val="28"/>
                <w:szCs w:val="28"/>
              </w:rPr>
              <w:t>16.4.1</w:t>
            </w:r>
            <w:r w:rsidRPr="003F3982">
              <w:rPr>
                <w:rFonts w:ascii="Arial" w:eastAsia="標楷體" w:hAnsi="Arial" w:cs="Arial"/>
                <w:sz w:val="28"/>
                <w:szCs w:val="28"/>
              </w:rPr>
              <w:t>、</w:t>
            </w:r>
            <w:r w:rsidRPr="003F3982">
              <w:rPr>
                <w:rFonts w:ascii="Arial" w:eastAsia="標楷體" w:hAnsi="Arial" w:cs="Arial"/>
                <w:sz w:val="28"/>
                <w:szCs w:val="28"/>
              </w:rPr>
              <w:t>16.8</w:t>
            </w:r>
            <w:r w:rsidRPr="003F3982">
              <w:rPr>
                <w:rFonts w:ascii="Arial" w:eastAsia="標楷體" w:hAnsi="Arial" w:cs="Arial"/>
                <w:sz w:val="28"/>
                <w:szCs w:val="28"/>
              </w:rPr>
              <w:t>以及</w:t>
            </w:r>
            <w:r w:rsidRPr="003F3982">
              <w:rPr>
                <w:rFonts w:ascii="Arial" w:eastAsia="標楷體" w:hAnsi="Arial" w:cs="Arial"/>
                <w:sz w:val="28"/>
                <w:szCs w:val="28"/>
              </w:rPr>
              <w:t>16.9</w:t>
            </w:r>
            <w:r w:rsidRPr="003F3982">
              <w:rPr>
                <w:rFonts w:ascii="Arial" w:eastAsia="標楷體" w:hAnsi="Arial" w:cs="Arial"/>
                <w:sz w:val="28"/>
                <w:szCs w:val="28"/>
              </w:rPr>
              <w:t>；英國審慎監理總署</w:t>
            </w:r>
            <w:r w:rsidRPr="003F3982">
              <w:rPr>
                <w:rFonts w:ascii="Arial" w:eastAsia="標楷體" w:hAnsi="Arial" w:cs="Arial"/>
                <w:sz w:val="28"/>
                <w:szCs w:val="28"/>
              </w:rPr>
              <w:t>(PRA)</w:t>
            </w:r>
            <w:r w:rsidRPr="003F3982">
              <w:rPr>
                <w:rFonts w:ascii="Arial" w:eastAsia="標楷體" w:hAnsi="Arial" w:cs="Arial"/>
                <w:sz w:val="28"/>
                <w:szCs w:val="28"/>
              </w:rPr>
              <w:t>頒布之</w:t>
            </w:r>
            <w:r w:rsidRPr="003F3982">
              <w:rPr>
                <w:rFonts w:ascii="Arial" w:eastAsia="標楷體" w:hAnsi="Arial" w:cs="Arial"/>
                <w:sz w:val="28"/>
                <w:szCs w:val="28"/>
              </w:rPr>
              <w:t>Supervisory Statement_SS5/19</w:t>
            </w:r>
            <w:r w:rsidRPr="003F3982">
              <w:rPr>
                <w:rFonts w:ascii="Arial" w:eastAsia="標楷體" w:hAnsi="Arial" w:cs="Arial" w:hint="eastAsia"/>
                <w:sz w:val="28"/>
                <w:szCs w:val="28"/>
              </w:rPr>
              <w:t>關於流動性之風險胃納及壓力測試相關</w:t>
            </w:r>
            <w:r w:rsidRPr="003F3982">
              <w:rPr>
                <w:rFonts w:ascii="Arial" w:eastAsia="標楷體" w:hAnsi="Arial" w:cs="Arial"/>
                <w:sz w:val="28"/>
                <w:szCs w:val="28"/>
              </w:rPr>
              <w:t>內容修訂</w:t>
            </w:r>
            <w:r w:rsidRPr="00B503F5">
              <w:rPr>
                <w:rFonts w:ascii="Arial" w:eastAsia="標楷體" w:hAnsi="Arial" w:cs="Arial"/>
                <w:sz w:val="28"/>
                <w:szCs w:val="28"/>
              </w:rPr>
              <w:t>。</w:t>
            </w:r>
          </w:p>
          <w:p w14:paraId="528AF02B" w14:textId="77777777" w:rsidR="00B820C5" w:rsidRPr="00B503F5" w:rsidRDefault="00B820C5" w:rsidP="00FA6F58">
            <w:pPr>
              <w:pStyle w:val="a8"/>
              <w:numPr>
                <w:ilvl w:val="0"/>
                <w:numId w:val="22"/>
              </w:numPr>
              <w:spacing w:line="400" w:lineRule="exact"/>
              <w:ind w:leftChars="0" w:left="369" w:hanging="369"/>
              <w:jc w:val="both"/>
              <w:rPr>
                <w:rFonts w:ascii="Arial" w:eastAsia="標楷體" w:hAnsi="Arial" w:cs="Arial"/>
                <w:sz w:val="28"/>
                <w:szCs w:val="28"/>
              </w:rPr>
            </w:pPr>
            <w:r w:rsidRPr="00B503F5">
              <w:rPr>
                <w:rFonts w:ascii="Arial" w:eastAsia="標楷體" w:hAnsi="Arial" w:cs="Arial"/>
                <w:sz w:val="28"/>
                <w:szCs w:val="28"/>
              </w:rPr>
              <w:t>新增流動性風險胃納與風險限額內容，以利公司辦理內部溝通、監</w:t>
            </w:r>
            <w:r w:rsidRPr="00B503F5">
              <w:rPr>
                <w:rFonts w:ascii="Arial" w:eastAsia="標楷體" w:hAnsi="Arial" w:cs="Arial"/>
                <w:sz w:val="28"/>
                <w:szCs w:val="28"/>
              </w:rPr>
              <w:lastRenderedPageBreak/>
              <w:t>控及陳報相關事宜。</w:t>
            </w:r>
          </w:p>
          <w:p w14:paraId="372C8DAB" w14:textId="77777777" w:rsidR="00B820C5" w:rsidRDefault="00B820C5" w:rsidP="00FA6F58">
            <w:pPr>
              <w:pStyle w:val="a8"/>
              <w:numPr>
                <w:ilvl w:val="0"/>
                <w:numId w:val="22"/>
              </w:numPr>
              <w:spacing w:line="400" w:lineRule="exact"/>
              <w:ind w:leftChars="0" w:left="369" w:hanging="369"/>
              <w:jc w:val="both"/>
              <w:rPr>
                <w:rFonts w:ascii="Arial" w:eastAsia="標楷體" w:hAnsi="Arial" w:cs="Arial"/>
                <w:sz w:val="28"/>
                <w:szCs w:val="28"/>
              </w:rPr>
            </w:pPr>
            <w:r w:rsidRPr="003F3982">
              <w:rPr>
                <w:rFonts w:ascii="Arial" w:eastAsia="標楷體" w:hAnsi="Arial" w:cs="Arial"/>
                <w:sz w:val="28"/>
                <w:szCs w:val="28"/>
              </w:rPr>
              <w:t>新增壓力測試相關內容</w:t>
            </w:r>
            <w:r w:rsidRPr="00EE2628">
              <w:rPr>
                <w:rFonts w:ascii="Arial" w:eastAsia="標楷體" w:hAnsi="Arial" w:cs="Arial"/>
                <w:sz w:val="28"/>
                <w:szCs w:val="28"/>
              </w:rPr>
              <w:t>，</w:t>
            </w:r>
            <w:r w:rsidRPr="003F3982">
              <w:rPr>
                <w:rFonts w:ascii="Arial" w:eastAsia="標楷體" w:hAnsi="Arial" w:cs="Arial"/>
                <w:sz w:val="28"/>
                <w:szCs w:val="28"/>
              </w:rPr>
              <w:t>強化公司辨識在不同情境下可能之流動性風險驅動因子並落實流動性風險之衡量。</w:t>
            </w:r>
          </w:p>
          <w:p w14:paraId="4343B01D" w14:textId="77777777" w:rsidR="00B820C5" w:rsidRPr="007E4826" w:rsidRDefault="00B820C5" w:rsidP="00FA6F58">
            <w:pPr>
              <w:pStyle w:val="a8"/>
              <w:numPr>
                <w:ilvl w:val="0"/>
                <w:numId w:val="22"/>
              </w:numPr>
              <w:spacing w:line="400" w:lineRule="exact"/>
              <w:ind w:leftChars="0" w:left="369" w:hanging="369"/>
              <w:jc w:val="both"/>
              <w:rPr>
                <w:rFonts w:ascii="Arial" w:eastAsia="標楷體" w:hAnsi="Arial" w:cs="Arial"/>
                <w:sz w:val="28"/>
                <w:szCs w:val="28"/>
              </w:rPr>
            </w:pPr>
            <w:r>
              <w:rPr>
                <w:rFonts w:ascii="Arial" w:eastAsia="標楷體" w:hAnsi="Arial" w:cs="Arial" w:hint="eastAsia"/>
                <w:sz w:val="28"/>
                <w:szCs w:val="28"/>
              </w:rPr>
              <w:t>整</w:t>
            </w:r>
            <w:proofErr w:type="gramStart"/>
            <w:r>
              <w:rPr>
                <w:rFonts w:ascii="Arial" w:eastAsia="標楷體" w:hAnsi="Arial" w:cs="Arial" w:hint="eastAsia"/>
                <w:sz w:val="28"/>
                <w:szCs w:val="28"/>
              </w:rPr>
              <w:t>併</w:t>
            </w:r>
            <w:proofErr w:type="gramEnd"/>
            <w:r>
              <w:rPr>
                <w:rFonts w:ascii="Arial" w:eastAsia="標楷體" w:hAnsi="Arial" w:cs="Arial" w:hint="eastAsia"/>
                <w:sz w:val="28"/>
                <w:szCs w:val="28"/>
              </w:rPr>
              <w:t>現行條文第一項與第四項</w:t>
            </w:r>
            <w:r w:rsidRPr="003F3982">
              <w:rPr>
                <w:rFonts w:ascii="Arial" w:eastAsia="標楷體" w:hAnsi="Arial" w:cs="Arial"/>
                <w:sz w:val="28"/>
                <w:szCs w:val="28"/>
              </w:rPr>
              <w:t>。</w:t>
            </w:r>
          </w:p>
        </w:tc>
      </w:tr>
      <w:tr w:rsidR="00B820C5" w:rsidRPr="00EE2628" w14:paraId="329C76FB" w14:textId="77777777" w:rsidTr="007B126F">
        <w:trPr>
          <w:jc w:val="center"/>
        </w:trPr>
        <w:tc>
          <w:tcPr>
            <w:tcW w:w="3307" w:type="dxa"/>
          </w:tcPr>
          <w:p w14:paraId="1631F62E" w14:textId="77777777" w:rsidR="00B820C5" w:rsidRPr="003F3982" w:rsidRDefault="00B820C5" w:rsidP="00FA6F58">
            <w:pPr>
              <w:widowControl/>
              <w:spacing w:line="400" w:lineRule="exact"/>
              <w:jc w:val="both"/>
              <w:rPr>
                <w:rFonts w:ascii="Arial" w:eastAsia="標楷體" w:hAnsi="Arial" w:cs="Arial"/>
                <w:b/>
                <w:kern w:val="0"/>
                <w:sz w:val="28"/>
                <w:szCs w:val="28"/>
              </w:rPr>
            </w:pPr>
            <w:r w:rsidRPr="003F3982">
              <w:rPr>
                <w:rFonts w:ascii="Arial" w:eastAsia="標楷體" w:hAnsi="Arial" w:cs="Arial"/>
                <w:b/>
                <w:kern w:val="0"/>
                <w:sz w:val="28"/>
                <w:szCs w:val="28"/>
              </w:rPr>
              <w:lastRenderedPageBreak/>
              <w:t>5.3.4</w:t>
            </w:r>
            <w:r w:rsidRPr="003F3982">
              <w:rPr>
                <w:rFonts w:ascii="Arial" w:eastAsia="標楷體" w:hAnsi="Arial" w:cs="Arial"/>
                <w:b/>
                <w:kern w:val="0"/>
                <w:sz w:val="28"/>
                <w:szCs w:val="28"/>
              </w:rPr>
              <w:t>異常及緊急狀況資金需求策略</w:t>
            </w:r>
          </w:p>
          <w:p w14:paraId="15BE02B4" w14:textId="77777777" w:rsidR="00B820C5" w:rsidRPr="007A3603" w:rsidRDefault="00B820C5" w:rsidP="00FA6F58">
            <w:pPr>
              <w:widowControl/>
              <w:numPr>
                <w:ilvl w:val="0"/>
                <w:numId w:val="23"/>
              </w:numPr>
              <w:tabs>
                <w:tab w:val="clear" w:pos="480"/>
              </w:tabs>
              <w:spacing w:line="400" w:lineRule="exact"/>
              <w:ind w:left="319" w:hanging="319"/>
              <w:jc w:val="both"/>
              <w:rPr>
                <w:rFonts w:ascii="Arial" w:eastAsia="標楷體" w:hAnsi="Arial" w:cs="Arial"/>
                <w:sz w:val="28"/>
                <w:szCs w:val="28"/>
              </w:rPr>
            </w:pPr>
            <w:r w:rsidRPr="003F3982">
              <w:rPr>
                <w:rFonts w:ascii="Arial" w:eastAsia="標楷體" w:hAnsi="Arial" w:cs="Arial"/>
                <w:kern w:val="0"/>
                <w:sz w:val="28"/>
                <w:szCs w:val="28"/>
              </w:rPr>
              <w:t>保險業對異常或緊急狀況導致之資金需求，應擬定</w:t>
            </w:r>
            <w:r w:rsidRPr="00686D4A">
              <w:rPr>
                <w:rFonts w:ascii="Arial" w:eastAsia="標楷體" w:hAnsi="Arial" w:cs="Arial"/>
                <w:color w:val="EE0000"/>
                <w:kern w:val="0"/>
                <w:sz w:val="28"/>
                <w:szCs w:val="28"/>
                <w:u w:val="single"/>
              </w:rPr>
              <w:t>緊急</w:t>
            </w:r>
            <w:r w:rsidRPr="003F3982">
              <w:rPr>
                <w:rFonts w:ascii="Arial" w:eastAsia="標楷體" w:hAnsi="Arial" w:cs="Arial"/>
                <w:kern w:val="0"/>
                <w:sz w:val="28"/>
                <w:szCs w:val="28"/>
              </w:rPr>
              <w:t>應變計畫。</w:t>
            </w:r>
            <w:r w:rsidRPr="00686D4A">
              <w:rPr>
                <w:rFonts w:ascii="Arial" w:eastAsia="標楷體" w:hAnsi="Arial" w:cs="Arial"/>
                <w:color w:val="EE0000"/>
                <w:kern w:val="0"/>
                <w:sz w:val="28"/>
                <w:szCs w:val="28"/>
                <w:u w:val="single"/>
              </w:rPr>
              <w:t>緊急應變計畫應隨業務性質及規模之變動並考量壓力測試結果，定期</w:t>
            </w:r>
            <w:r w:rsidRPr="00686D4A">
              <w:rPr>
                <w:rFonts w:ascii="Arial" w:eastAsia="標楷體" w:hAnsi="Arial" w:cs="Arial"/>
                <w:color w:val="EE0000"/>
                <w:kern w:val="0"/>
                <w:sz w:val="28"/>
                <w:szCs w:val="28"/>
                <w:u w:val="single"/>
              </w:rPr>
              <w:t xml:space="preserve"> (</w:t>
            </w:r>
            <w:r w:rsidRPr="00686D4A">
              <w:rPr>
                <w:rFonts w:ascii="Arial" w:eastAsia="標楷體" w:hAnsi="Arial" w:cs="Arial"/>
                <w:color w:val="EE0000"/>
                <w:kern w:val="0"/>
                <w:sz w:val="28"/>
                <w:szCs w:val="28"/>
                <w:u w:val="single"/>
              </w:rPr>
              <w:t>至少每年一次</w:t>
            </w:r>
            <w:r w:rsidRPr="00686D4A">
              <w:rPr>
                <w:rFonts w:ascii="Arial" w:eastAsia="標楷體" w:hAnsi="Arial" w:cs="Arial"/>
                <w:color w:val="EE0000"/>
                <w:kern w:val="0"/>
                <w:sz w:val="28"/>
                <w:szCs w:val="28"/>
                <w:u w:val="single"/>
              </w:rPr>
              <w:t>)</w:t>
            </w:r>
            <w:r w:rsidRPr="00686D4A">
              <w:rPr>
                <w:rFonts w:ascii="Arial" w:eastAsia="標楷體" w:hAnsi="Arial" w:cs="Arial"/>
                <w:color w:val="EE0000"/>
                <w:kern w:val="0"/>
                <w:sz w:val="28"/>
                <w:szCs w:val="28"/>
                <w:u w:val="single"/>
              </w:rPr>
              <w:t>及評估有需要時檢視與修正。</w:t>
            </w:r>
          </w:p>
          <w:p w14:paraId="357A6B83" w14:textId="77777777" w:rsidR="00B820C5" w:rsidRPr="007A3603" w:rsidRDefault="00B820C5" w:rsidP="00FA6F58">
            <w:pPr>
              <w:widowControl/>
              <w:numPr>
                <w:ilvl w:val="0"/>
                <w:numId w:val="23"/>
              </w:numPr>
              <w:tabs>
                <w:tab w:val="clear" w:pos="480"/>
              </w:tabs>
              <w:spacing w:line="400" w:lineRule="exact"/>
              <w:ind w:left="319" w:hanging="319"/>
              <w:jc w:val="both"/>
              <w:rPr>
                <w:rFonts w:ascii="Arial" w:eastAsia="標楷體" w:hAnsi="Arial" w:cs="Arial"/>
                <w:sz w:val="28"/>
                <w:szCs w:val="28"/>
              </w:rPr>
            </w:pPr>
            <w:r w:rsidRPr="007A3603">
              <w:rPr>
                <w:rFonts w:ascii="Arial" w:eastAsia="標楷體" w:hAnsi="Arial" w:cs="Arial"/>
                <w:kern w:val="0"/>
                <w:sz w:val="28"/>
                <w:szCs w:val="28"/>
              </w:rPr>
              <w:t>發現業務單位重大與異常使用現金情形時，資金調度單位應通報風險管理單位或其他相關單位，必要時應成立危機處理小組，以處理重大流動性風險。</w:t>
            </w:r>
          </w:p>
        </w:tc>
        <w:tc>
          <w:tcPr>
            <w:tcW w:w="3308" w:type="dxa"/>
          </w:tcPr>
          <w:p w14:paraId="347B5C4E" w14:textId="77777777" w:rsidR="00B820C5" w:rsidRPr="003F3982" w:rsidRDefault="00B820C5" w:rsidP="00FA6F58">
            <w:pPr>
              <w:widowControl/>
              <w:spacing w:line="400" w:lineRule="exact"/>
              <w:jc w:val="both"/>
              <w:rPr>
                <w:rFonts w:ascii="Arial" w:eastAsia="標楷體" w:hAnsi="Arial" w:cs="Arial"/>
                <w:b/>
                <w:kern w:val="0"/>
                <w:sz w:val="28"/>
                <w:szCs w:val="28"/>
              </w:rPr>
            </w:pPr>
            <w:r w:rsidRPr="003F3982">
              <w:rPr>
                <w:rFonts w:ascii="Arial" w:eastAsia="標楷體" w:hAnsi="Arial" w:cs="Arial"/>
                <w:b/>
                <w:kern w:val="0"/>
                <w:sz w:val="28"/>
                <w:szCs w:val="28"/>
              </w:rPr>
              <w:t>5.3.4</w:t>
            </w:r>
            <w:r w:rsidRPr="003F3982">
              <w:rPr>
                <w:rFonts w:ascii="Arial" w:eastAsia="標楷體" w:hAnsi="Arial" w:cs="Arial"/>
                <w:b/>
                <w:kern w:val="0"/>
                <w:sz w:val="28"/>
                <w:szCs w:val="28"/>
              </w:rPr>
              <w:t>異常及緊急狀況資金需求策略</w:t>
            </w:r>
          </w:p>
          <w:p w14:paraId="7B90DC65" w14:textId="77777777" w:rsidR="00B820C5" w:rsidRPr="007A3603" w:rsidRDefault="00B820C5" w:rsidP="00FA6F58">
            <w:pPr>
              <w:widowControl/>
              <w:numPr>
                <w:ilvl w:val="0"/>
                <w:numId w:val="24"/>
              </w:numPr>
              <w:tabs>
                <w:tab w:val="clear" w:pos="480"/>
              </w:tabs>
              <w:spacing w:line="400" w:lineRule="exact"/>
              <w:ind w:left="420" w:hangingChars="150" w:hanging="420"/>
              <w:jc w:val="both"/>
              <w:rPr>
                <w:rFonts w:ascii="Arial" w:eastAsia="標楷體" w:hAnsi="Arial" w:cs="Arial"/>
                <w:sz w:val="28"/>
                <w:szCs w:val="28"/>
              </w:rPr>
            </w:pPr>
            <w:r w:rsidRPr="007A3603">
              <w:rPr>
                <w:rFonts w:ascii="Arial" w:eastAsia="標楷體" w:hAnsi="Arial" w:cs="Arial"/>
                <w:kern w:val="0"/>
                <w:sz w:val="28"/>
                <w:szCs w:val="28"/>
              </w:rPr>
              <w:t>保險業對異常或緊急狀況導致之資金需求，應擬定應變計畫。</w:t>
            </w:r>
          </w:p>
          <w:p w14:paraId="7F641A81" w14:textId="77777777" w:rsidR="00B820C5" w:rsidRDefault="00B820C5" w:rsidP="00FA6F58">
            <w:pPr>
              <w:widowControl/>
              <w:spacing w:line="400" w:lineRule="exact"/>
              <w:ind w:left="420"/>
              <w:jc w:val="both"/>
              <w:rPr>
                <w:rFonts w:ascii="Arial" w:eastAsia="標楷體" w:hAnsi="Arial" w:cs="Arial"/>
                <w:sz w:val="28"/>
                <w:szCs w:val="28"/>
              </w:rPr>
            </w:pPr>
          </w:p>
          <w:p w14:paraId="3E59C4F8" w14:textId="77777777" w:rsidR="00B820C5" w:rsidRDefault="00B820C5" w:rsidP="00FA6F58">
            <w:pPr>
              <w:widowControl/>
              <w:spacing w:line="400" w:lineRule="exact"/>
              <w:ind w:left="420"/>
              <w:jc w:val="both"/>
              <w:rPr>
                <w:rFonts w:ascii="Arial" w:eastAsia="標楷體" w:hAnsi="Arial" w:cs="Arial"/>
                <w:sz w:val="28"/>
                <w:szCs w:val="28"/>
              </w:rPr>
            </w:pPr>
          </w:p>
          <w:p w14:paraId="14E62C8C" w14:textId="77777777" w:rsidR="00B820C5" w:rsidRDefault="00B820C5" w:rsidP="00FA6F58">
            <w:pPr>
              <w:widowControl/>
              <w:spacing w:line="400" w:lineRule="exact"/>
              <w:ind w:left="420"/>
              <w:jc w:val="both"/>
              <w:rPr>
                <w:rFonts w:ascii="Arial" w:eastAsia="標楷體" w:hAnsi="Arial" w:cs="Arial"/>
                <w:sz w:val="28"/>
                <w:szCs w:val="28"/>
              </w:rPr>
            </w:pPr>
          </w:p>
          <w:p w14:paraId="5D47B127" w14:textId="77777777" w:rsidR="00B820C5" w:rsidRDefault="00B820C5" w:rsidP="00FA6F58">
            <w:pPr>
              <w:widowControl/>
              <w:spacing w:line="400" w:lineRule="exact"/>
              <w:ind w:left="420"/>
              <w:jc w:val="both"/>
              <w:rPr>
                <w:rFonts w:ascii="Arial" w:eastAsia="標楷體" w:hAnsi="Arial" w:cs="Arial"/>
                <w:sz w:val="28"/>
                <w:szCs w:val="28"/>
              </w:rPr>
            </w:pPr>
          </w:p>
          <w:p w14:paraId="22640B26" w14:textId="77777777" w:rsidR="00B820C5" w:rsidRDefault="00B820C5" w:rsidP="00FA6F58">
            <w:pPr>
              <w:widowControl/>
              <w:spacing w:line="400" w:lineRule="exact"/>
              <w:ind w:left="420"/>
              <w:jc w:val="both"/>
              <w:rPr>
                <w:rFonts w:ascii="Arial" w:eastAsia="標楷體" w:hAnsi="Arial" w:cs="Arial"/>
                <w:sz w:val="28"/>
                <w:szCs w:val="28"/>
              </w:rPr>
            </w:pPr>
          </w:p>
          <w:p w14:paraId="730C6C72" w14:textId="77777777" w:rsidR="00B820C5" w:rsidRPr="007A3603" w:rsidRDefault="00B820C5" w:rsidP="00FA6F58">
            <w:pPr>
              <w:widowControl/>
              <w:spacing w:line="400" w:lineRule="exact"/>
              <w:ind w:left="420"/>
              <w:jc w:val="both"/>
              <w:rPr>
                <w:rFonts w:ascii="Arial" w:eastAsia="標楷體" w:hAnsi="Arial" w:cs="Arial"/>
                <w:sz w:val="28"/>
                <w:szCs w:val="28"/>
              </w:rPr>
            </w:pPr>
          </w:p>
          <w:p w14:paraId="3EA941BB" w14:textId="77777777" w:rsidR="00B820C5" w:rsidRPr="00EE2628" w:rsidRDefault="00B820C5" w:rsidP="00FA6F58">
            <w:pPr>
              <w:widowControl/>
              <w:numPr>
                <w:ilvl w:val="0"/>
                <w:numId w:val="24"/>
              </w:numPr>
              <w:tabs>
                <w:tab w:val="clear" w:pos="480"/>
              </w:tabs>
              <w:spacing w:line="400" w:lineRule="exact"/>
              <w:ind w:left="420" w:hangingChars="150" w:hanging="420"/>
              <w:jc w:val="both"/>
              <w:rPr>
                <w:rFonts w:ascii="Arial" w:eastAsia="標楷體" w:hAnsi="Arial" w:cs="Arial"/>
                <w:sz w:val="28"/>
                <w:szCs w:val="28"/>
              </w:rPr>
            </w:pPr>
            <w:r w:rsidRPr="003F3982">
              <w:rPr>
                <w:rFonts w:ascii="Arial" w:eastAsia="標楷體" w:hAnsi="Arial" w:cs="Arial"/>
                <w:kern w:val="0"/>
                <w:sz w:val="28"/>
                <w:szCs w:val="28"/>
              </w:rPr>
              <w:t>發現業務單位重大與異常使用現金情形時，資金調度單位應通報風險管理單位或其他相關單位，必要時應成立危機處理小組，以處理重大流動性風險。</w:t>
            </w:r>
          </w:p>
        </w:tc>
        <w:tc>
          <w:tcPr>
            <w:tcW w:w="3308" w:type="dxa"/>
          </w:tcPr>
          <w:p w14:paraId="7E4B878F" w14:textId="77777777" w:rsidR="00B820C5" w:rsidRPr="007C1EB2" w:rsidRDefault="00B820C5" w:rsidP="00FA6F58">
            <w:pPr>
              <w:spacing w:line="400" w:lineRule="exact"/>
              <w:jc w:val="both"/>
              <w:rPr>
                <w:rFonts w:ascii="Arial" w:eastAsia="標楷體" w:hAnsi="Arial" w:cs="Arial"/>
                <w:sz w:val="28"/>
                <w:szCs w:val="28"/>
              </w:rPr>
            </w:pPr>
            <w:r w:rsidRPr="007C1EB2">
              <w:rPr>
                <w:rFonts w:ascii="Arial" w:eastAsia="標楷體" w:hAnsi="Arial" w:cs="Arial"/>
                <w:sz w:val="28"/>
                <w:szCs w:val="28"/>
              </w:rPr>
              <w:t>參考我國銀行業「銀行流動性風險管理自律規範」第二十三條內容</w:t>
            </w:r>
            <w:r w:rsidRPr="007E4826">
              <w:rPr>
                <w:rFonts w:ascii="Arial" w:eastAsia="標楷體" w:hAnsi="Arial" w:cs="Arial"/>
                <w:kern w:val="0"/>
                <w:sz w:val="28"/>
                <w:szCs w:val="28"/>
              </w:rPr>
              <w:t>，</w:t>
            </w:r>
            <w:r w:rsidRPr="007C1EB2">
              <w:rPr>
                <w:rFonts w:ascii="Arial" w:eastAsia="標楷體" w:hAnsi="Arial" w:cs="Arial" w:hint="eastAsia"/>
                <w:sz w:val="28"/>
                <w:szCs w:val="28"/>
              </w:rPr>
              <w:t>增訂緊急應變計畫</w:t>
            </w:r>
            <w:r>
              <w:rPr>
                <w:rFonts w:ascii="Arial" w:eastAsia="標楷體" w:hAnsi="Arial" w:cs="Arial" w:hint="eastAsia"/>
                <w:sz w:val="28"/>
                <w:szCs w:val="28"/>
              </w:rPr>
              <w:t>之</w:t>
            </w:r>
            <w:r w:rsidRPr="007C1EB2">
              <w:rPr>
                <w:rFonts w:ascii="Arial" w:eastAsia="標楷體" w:hAnsi="Arial" w:cs="Arial" w:hint="eastAsia"/>
                <w:sz w:val="28"/>
                <w:szCs w:val="28"/>
              </w:rPr>
              <w:t>評估機制，以強化流動性風險控制循環</w:t>
            </w:r>
            <w:r w:rsidRPr="007C1EB2">
              <w:rPr>
                <w:rFonts w:ascii="Arial" w:eastAsia="標楷體" w:hAnsi="Arial" w:cs="Arial"/>
                <w:kern w:val="0"/>
                <w:sz w:val="28"/>
                <w:szCs w:val="28"/>
              </w:rPr>
              <w:t>。</w:t>
            </w:r>
          </w:p>
        </w:tc>
      </w:tr>
      <w:tr w:rsidR="00B820C5" w:rsidRPr="00EE2628" w14:paraId="2E354687" w14:textId="77777777" w:rsidTr="007B126F">
        <w:trPr>
          <w:jc w:val="center"/>
        </w:trPr>
        <w:tc>
          <w:tcPr>
            <w:tcW w:w="3307" w:type="dxa"/>
          </w:tcPr>
          <w:p w14:paraId="378D42BE" w14:textId="77777777" w:rsidR="00B820C5" w:rsidRPr="00B820C5" w:rsidRDefault="00B820C5" w:rsidP="00FA6F58">
            <w:pPr>
              <w:spacing w:line="400" w:lineRule="exact"/>
              <w:ind w:left="743" w:hangingChars="265" w:hanging="743"/>
              <w:jc w:val="both"/>
              <w:rPr>
                <w:rFonts w:ascii="Arial" w:eastAsia="標楷體" w:hAnsi="Arial" w:cs="Arial"/>
                <w:b/>
                <w:color w:val="EE0000"/>
                <w:sz w:val="28"/>
                <w:szCs w:val="28"/>
                <w:u w:val="single"/>
              </w:rPr>
            </w:pPr>
            <w:bookmarkStart w:id="1" w:name="_Toc174621333"/>
            <w:r w:rsidRPr="00B820C5">
              <w:rPr>
                <w:rFonts w:ascii="Arial" w:eastAsia="標楷體" w:hAnsi="Arial" w:cs="Arial"/>
                <w:b/>
                <w:color w:val="EE0000"/>
                <w:sz w:val="28"/>
                <w:szCs w:val="28"/>
                <w:u w:val="single"/>
              </w:rPr>
              <w:t xml:space="preserve">5.8 </w:t>
            </w:r>
            <w:r w:rsidRPr="00B820C5">
              <w:rPr>
                <w:rFonts w:ascii="Arial" w:eastAsia="標楷體" w:hAnsi="Arial" w:cs="Arial"/>
                <w:b/>
                <w:color w:val="EE0000"/>
                <w:sz w:val="28"/>
                <w:szCs w:val="28"/>
                <w:u w:val="single"/>
              </w:rPr>
              <w:t>集團風險</w:t>
            </w:r>
            <w:bookmarkEnd w:id="1"/>
          </w:p>
          <w:p w14:paraId="41463868" w14:textId="77777777" w:rsidR="00B820C5" w:rsidRPr="00B820C5" w:rsidRDefault="00B820C5" w:rsidP="00FA6F58">
            <w:pPr>
              <w:spacing w:line="400" w:lineRule="exact"/>
              <w:jc w:val="both"/>
              <w:rPr>
                <w:rFonts w:ascii="Arial" w:eastAsia="標楷體" w:hAnsi="Arial" w:cs="Arial"/>
                <w:b/>
                <w:color w:val="EE0000"/>
                <w:sz w:val="28"/>
                <w:szCs w:val="28"/>
                <w:u w:val="single"/>
              </w:rPr>
            </w:pPr>
            <w:r w:rsidRPr="00B820C5">
              <w:rPr>
                <w:rFonts w:ascii="Arial" w:eastAsia="標楷體" w:hAnsi="Arial" w:cs="Arial"/>
                <w:b/>
                <w:color w:val="EE0000"/>
                <w:sz w:val="28"/>
                <w:szCs w:val="28"/>
                <w:u w:val="single"/>
              </w:rPr>
              <w:t xml:space="preserve">5.8.1 </w:t>
            </w:r>
            <w:r w:rsidRPr="00B820C5">
              <w:rPr>
                <w:rFonts w:ascii="Arial" w:eastAsia="標楷體" w:hAnsi="Arial" w:cs="Arial"/>
                <w:b/>
                <w:color w:val="EE0000"/>
                <w:sz w:val="28"/>
                <w:szCs w:val="28"/>
                <w:u w:val="single"/>
              </w:rPr>
              <w:t>集團風險管理原則</w:t>
            </w:r>
          </w:p>
          <w:p w14:paraId="3DEECF43" w14:textId="77777777" w:rsidR="00B820C5" w:rsidRPr="00B820C5" w:rsidRDefault="00B820C5" w:rsidP="00FA6F58">
            <w:pPr>
              <w:spacing w:line="400" w:lineRule="exact"/>
              <w:jc w:val="both"/>
              <w:rPr>
                <w:rFonts w:ascii="Arial" w:eastAsia="標楷體" w:hAnsi="Arial" w:cs="Arial"/>
                <w:color w:val="EE0000"/>
                <w:sz w:val="28"/>
                <w:szCs w:val="28"/>
                <w:u w:val="single"/>
              </w:rPr>
            </w:pPr>
            <w:r w:rsidRPr="00B820C5">
              <w:rPr>
                <w:rFonts w:ascii="Arial" w:eastAsia="標楷體" w:hAnsi="Arial" w:cs="Arial"/>
                <w:color w:val="EE0000"/>
                <w:sz w:val="28"/>
                <w:szCs w:val="28"/>
                <w:u w:val="single"/>
              </w:rPr>
              <w:t>集團風險係指整個集團或集團內任一成員的財務狀況，可能因集團範圍內的事件、某個集團成員的事件或外部環境所引發的事件而受到不利影響。保險業</w:t>
            </w:r>
            <w:r w:rsidRPr="00B820C5">
              <w:rPr>
                <w:rFonts w:ascii="Arial" w:eastAsia="標楷體" w:hAnsi="Arial" w:cs="Arial" w:hint="eastAsia"/>
                <w:color w:val="EE0000"/>
                <w:sz w:val="28"/>
                <w:szCs w:val="28"/>
                <w:u w:val="single"/>
              </w:rPr>
              <w:t>管理前述風險應訂定</w:t>
            </w:r>
            <w:r w:rsidRPr="00B820C5">
              <w:rPr>
                <w:rFonts w:ascii="Arial" w:eastAsia="標楷體" w:hAnsi="Arial" w:cs="Arial"/>
                <w:color w:val="EE0000"/>
                <w:sz w:val="28"/>
                <w:szCs w:val="28"/>
                <w:u w:val="single"/>
              </w:rPr>
              <w:t>集團風險管理機制</w:t>
            </w:r>
            <w:r w:rsidRPr="00B820C5">
              <w:rPr>
                <w:rFonts w:ascii="Arial" w:eastAsia="標楷體" w:hAnsi="Arial" w:cs="Arial"/>
                <w:color w:val="EE0000"/>
                <w:kern w:val="0"/>
                <w:sz w:val="28"/>
                <w:szCs w:val="28"/>
                <w:u w:val="single"/>
              </w:rPr>
              <w:t>，</w:t>
            </w:r>
            <w:r w:rsidRPr="00B820C5">
              <w:rPr>
                <w:rFonts w:ascii="Arial" w:eastAsia="標楷體" w:hAnsi="Arial" w:cs="Arial" w:hint="eastAsia"/>
                <w:color w:val="EE0000"/>
                <w:kern w:val="0"/>
                <w:sz w:val="28"/>
                <w:szCs w:val="28"/>
                <w:u w:val="single"/>
              </w:rPr>
              <w:t>其至少</w:t>
            </w:r>
            <w:r w:rsidRPr="00B820C5">
              <w:rPr>
                <w:rFonts w:ascii="Arial" w:eastAsia="標楷體" w:hAnsi="Arial" w:cs="Arial"/>
                <w:color w:val="EE0000"/>
                <w:sz w:val="28"/>
                <w:szCs w:val="28"/>
                <w:u w:val="single"/>
              </w:rPr>
              <w:t>應包括下列項目：</w:t>
            </w:r>
          </w:p>
          <w:p w14:paraId="0D92233F" w14:textId="77777777" w:rsidR="00B820C5" w:rsidRPr="00B820C5" w:rsidRDefault="00B820C5" w:rsidP="00FA6F58">
            <w:pPr>
              <w:pStyle w:val="a8"/>
              <w:numPr>
                <w:ilvl w:val="0"/>
                <w:numId w:val="4"/>
              </w:numPr>
              <w:spacing w:line="400" w:lineRule="exact"/>
              <w:ind w:leftChars="0" w:left="323" w:hanging="323"/>
              <w:jc w:val="both"/>
              <w:rPr>
                <w:rFonts w:ascii="Arial" w:eastAsia="標楷體" w:hAnsi="Arial" w:cs="Arial"/>
                <w:color w:val="EE0000"/>
                <w:sz w:val="28"/>
                <w:szCs w:val="28"/>
                <w:u w:val="single"/>
              </w:rPr>
            </w:pPr>
            <w:r w:rsidRPr="00B820C5">
              <w:rPr>
                <w:rFonts w:ascii="Arial" w:eastAsia="標楷體" w:hAnsi="Arial" w:cs="Arial"/>
                <w:color w:val="EE0000"/>
                <w:sz w:val="28"/>
                <w:szCs w:val="28"/>
                <w:u w:val="single"/>
              </w:rPr>
              <w:t>重要關聯性之風險管理。</w:t>
            </w:r>
          </w:p>
          <w:p w14:paraId="3A5EDC90" w14:textId="77777777" w:rsidR="00B820C5" w:rsidRPr="00B820C5" w:rsidRDefault="00B820C5" w:rsidP="00FA6F58">
            <w:pPr>
              <w:pStyle w:val="a8"/>
              <w:numPr>
                <w:ilvl w:val="0"/>
                <w:numId w:val="4"/>
              </w:numPr>
              <w:spacing w:line="400" w:lineRule="exact"/>
              <w:ind w:leftChars="0" w:left="323" w:hanging="323"/>
              <w:jc w:val="both"/>
              <w:rPr>
                <w:rFonts w:ascii="Arial" w:eastAsia="標楷體" w:hAnsi="Arial" w:cs="Arial"/>
                <w:color w:val="EE0000"/>
                <w:sz w:val="28"/>
                <w:szCs w:val="28"/>
                <w:u w:val="single"/>
              </w:rPr>
            </w:pPr>
            <w:r w:rsidRPr="00B820C5">
              <w:rPr>
                <w:rFonts w:ascii="Arial" w:eastAsia="標楷體" w:hAnsi="Arial" w:cs="Arial"/>
                <w:color w:val="EE0000"/>
                <w:sz w:val="28"/>
                <w:szCs w:val="28"/>
                <w:u w:val="single"/>
              </w:rPr>
              <w:t>督導轄下成員風險管理。</w:t>
            </w:r>
          </w:p>
        </w:tc>
        <w:tc>
          <w:tcPr>
            <w:tcW w:w="3308" w:type="dxa"/>
          </w:tcPr>
          <w:p w14:paraId="64404E63" w14:textId="77777777" w:rsidR="00B820C5" w:rsidRPr="00EE2628" w:rsidRDefault="00B820C5" w:rsidP="00FA6F58">
            <w:pPr>
              <w:spacing w:line="400" w:lineRule="exact"/>
              <w:jc w:val="both"/>
              <w:outlineLvl w:val="1"/>
              <w:rPr>
                <w:rFonts w:ascii="Arial" w:eastAsia="標楷體" w:hAnsi="Arial" w:cs="Arial"/>
                <w:sz w:val="28"/>
                <w:szCs w:val="28"/>
              </w:rPr>
            </w:pPr>
            <w:r w:rsidRPr="00EE2628">
              <w:rPr>
                <w:rFonts w:ascii="Arial" w:eastAsia="標楷體" w:hAnsi="Arial" w:cs="Arial"/>
                <w:sz w:val="28"/>
                <w:szCs w:val="28"/>
              </w:rPr>
              <w:t>(NA)</w:t>
            </w:r>
          </w:p>
        </w:tc>
        <w:tc>
          <w:tcPr>
            <w:tcW w:w="3308" w:type="dxa"/>
          </w:tcPr>
          <w:p w14:paraId="120C1026" w14:textId="77777777" w:rsidR="00B820C5" w:rsidRPr="00EE2628" w:rsidRDefault="00B820C5" w:rsidP="00FA6F58">
            <w:pPr>
              <w:pStyle w:val="a8"/>
              <w:numPr>
                <w:ilvl w:val="0"/>
                <w:numId w:val="19"/>
              </w:numPr>
              <w:spacing w:line="400" w:lineRule="exact"/>
              <w:ind w:leftChars="0" w:left="369" w:hanging="369"/>
              <w:jc w:val="both"/>
              <w:rPr>
                <w:rFonts w:ascii="Arial" w:eastAsia="標楷體" w:hAnsi="Arial" w:cs="Arial"/>
                <w:sz w:val="28"/>
                <w:szCs w:val="28"/>
              </w:rPr>
            </w:pPr>
            <w:r w:rsidRPr="00EE2628">
              <w:rPr>
                <w:rFonts w:ascii="Arial" w:eastAsia="標楷體" w:hAnsi="Arial" w:cs="Arial" w:hint="eastAsia"/>
                <w:sz w:val="28"/>
                <w:szCs w:val="28"/>
              </w:rPr>
              <w:t>配合</w:t>
            </w:r>
            <w:r w:rsidRPr="00EE2628">
              <w:rPr>
                <w:rFonts w:ascii="Arial" w:eastAsia="標楷體" w:hAnsi="Arial" w:cs="Arial" w:hint="eastAsia"/>
                <w:sz w:val="28"/>
                <w:szCs w:val="28"/>
              </w:rPr>
              <w:t>4.1.2</w:t>
            </w:r>
            <w:r w:rsidRPr="00EE2628">
              <w:rPr>
                <w:rFonts w:ascii="Arial" w:eastAsia="標楷體" w:hAnsi="Arial" w:cs="Arial" w:hint="eastAsia"/>
                <w:sz w:val="28"/>
                <w:szCs w:val="28"/>
              </w:rPr>
              <w:t>條修正新增本條</w:t>
            </w:r>
            <w:r w:rsidRPr="00EE2628">
              <w:rPr>
                <w:rFonts w:ascii="Arial" w:eastAsia="標楷體" w:hAnsi="Arial" w:cs="Arial"/>
                <w:sz w:val="28"/>
                <w:szCs w:val="28"/>
              </w:rPr>
              <w:t>。</w:t>
            </w:r>
          </w:p>
          <w:p w14:paraId="73D42FA8" w14:textId="77777777" w:rsidR="00B820C5" w:rsidRPr="00EE2628" w:rsidRDefault="00B820C5" w:rsidP="00FA6F58">
            <w:pPr>
              <w:pStyle w:val="a8"/>
              <w:numPr>
                <w:ilvl w:val="0"/>
                <w:numId w:val="19"/>
              </w:numPr>
              <w:spacing w:line="400" w:lineRule="exact"/>
              <w:ind w:leftChars="0" w:left="369" w:hanging="369"/>
              <w:jc w:val="both"/>
              <w:rPr>
                <w:rFonts w:ascii="Arial" w:eastAsia="標楷體" w:hAnsi="Arial" w:cs="Arial"/>
                <w:sz w:val="28"/>
                <w:szCs w:val="28"/>
              </w:rPr>
            </w:pPr>
            <w:r w:rsidRPr="00EE2628">
              <w:rPr>
                <w:rFonts w:ascii="Arial" w:eastAsia="標楷體" w:hAnsi="Arial" w:cs="Arial" w:hint="eastAsia"/>
                <w:sz w:val="28"/>
                <w:szCs w:val="28"/>
              </w:rPr>
              <w:t>參考保險核心原則</w:t>
            </w:r>
            <w:r w:rsidRPr="00EE2628">
              <w:rPr>
                <w:rFonts w:ascii="Arial" w:eastAsia="標楷體" w:hAnsi="Arial" w:cs="Arial"/>
                <w:sz w:val="28"/>
                <w:szCs w:val="28"/>
              </w:rPr>
              <w:t>ICP16.1.6~16.1.9</w:t>
            </w:r>
            <w:r w:rsidRPr="00EE2628">
              <w:rPr>
                <w:rFonts w:ascii="Arial" w:eastAsia="標楷體" w:hAnsi="Arial" w:cs="Arial" w:hint="eastAsia"/>
                <w:sz w:val="28"/>
                <w:szCs w:val="28"/>
              </w:rPr>
              <w:t>條文精神，載明集團風險之意涵及明訂集團風險管理機制</w:t>
            </w:r>
            <w:r w:rsidRPr="00EE2628">
              <w:rPr>
                <w:rFonts w:ascii="Arial" w:eastAsia="標楷體" w:hAnsi="Arial" w:cs="Arial"/>
                <w:sz w:val="28"/>
                <w:szCs w:val="28"/>
              </w:rPr>
              <w:t>，</w:t>
            </w:r>
            <w:r w:rsidRPr="00EE2628">
              <w:rPr>
                <w:rFonts w:ascii="Arial" w:eastAsia="標楷體" w:hAnsi="Arial" w:cs="Arial" w:hint="eastAsia"/>
                <w:sz w:val="28"/>
                <w:szCs w:val="28"/>
              </w:rPr>
              <w:t>以利</w:t>
            </w:r>
            <w:r w:rsidRPr="00EE2628">
              <w:rPr>
                <w:rFonts w:ascii="Arial" w:eastAsia="標楷體" w:hAnsi="Arial" w:cs="Arial"/>
                <w:sz w:val="28"/>
                <w:szCs w:val="28"/>
              </w:rPr>
              <w:t>公司遵循，</w:t>
            </w:r>
            <w:r w:rsidRPr="00EE2628">
              <w:rPr>
                <w:rFonts w:ascii="Arial" w:eastAsia="標楷體" w:hAnsi="Arial" w:cs="Arial" w:hint="eastAsia"/>
                <w:sz w:val="28"/>
                <w:szCs w:val="28"/>
              </w:rPr>
              <w:t>提升</w:t>
            </w:r>
            <w:r w:rsidRPr="00EE2628">
              <w:rPr>
                <w:rFonts w:ascii="Arial" w:eastAsia="標楷體" w:hAnsi="Arial" w:cs="Arial"/>
                <w:sz w:val="28"/>
                <w:szCs w:val="28"/>
              </w:rPr>
              <w:t>風險管理能力，</w:t>
            </w:r>
            <w:r w:rsidRPr="00EE2628">
              <w:rPr>
                <w:rFonts w:ascii="Arial" w:eastAsia="標楷體" w:hAnsi="Arial" w:cs="Arial" w:hint="eastAsia"/>
                <w:sz w:val="28"/>
                <w:szCs w:val="28"/>
              </w:rPr>
              <w:t>與</w:t>
            </w:r>
            <w:r w:rsidRPr="00EE2628">
              <w:rPr>
                <w:rFonts w:ascii="Arial" w:eastAsia="標楷體" w:hAnsi="Arial" w:cs="Arial"/>
                <w:sz w:val="28"/>
                <w:szCs w:val="28"/>
              </w:rPr>
              <w:t>國際</w:t>
            </w:r>
            <w:proofErr w:type="gramStart"/>
            <w:r w:rsidRPr="00EE2628">
              <w:rPr>
                <w:rFonts w:ascii="Arial" w:eastAsia="標楷體" w:hAnsi="Arial" w:cs="Arial" w:hint="eastAsia"/>
                <w:sz w:val="28"/>
                <w:szCs w:val="28"/>
              </w:rPr>
              <w:t>作法趨同</w:t>
            </w:r>
            <w:proofErr w:type="gramEnd"/>
            <w:r w:rsidRPr="00EE2628">
              <w:rPr>
                <w:rFonts w:ascii="Arial" w:eastAsia="標楷體" w:hAnsi="Arial" w:cs="Arial"/>
                <w:sz w:val="28"/>
                <w:szCs w:val="28"/>
              </w:rPr>
              <w:t>。</w:t>
            </w:r>
          </w:p>
        </w:tc>
      </w:tr>
      <w:tr w:rsidR="00B820C5" w:rsidRPr="00EE2628" w14:paraId="4E279DD7" w14:textId="77777777" w:rsidTr="007B126F">
        <w:trPr>
          <w:trHeight w:val="1806"/>
          <w:jc w:val="center"/>
        </w:trPr>
        <w:tc>
          <w:tcPr>
            <w:tcW w:w="3307" w:type="dxa"/>
          </w:tcPr>
          <w:p w14:paraId="4CDF84AE" w14:textId="77777777" w:rsidR="00B820C5" w:rsidRPr="005479B5" w:rsidRDefault="00B820C5" w:rsidP="00FA6F58">
            <w:pPr>
              <w:spacing w:line="400" w:lineRule="exact"/>
              <w:jc w:val="both"/>
              <w:rPr>
                <w:rFonts w:ascii="Arial" w:eastAsia="標楷體" w:hAnsi="Arial" w:cs="Arial"/>
                <w:b/>
                <w:color w:val="EE0000"/>
                <w:sz w:val="28"/>
                <w:szCs w:val="28"/>
                <w:u w:val="single"/>
              </w:rPr>
            </w:pPr>
            <w:r w:rsidRPr="005479B5">
              <w:rPr>
                <w:rFonts w:ascii="Arial" w:eastAsia="標楷體" w:hAnsi="Arial" w:cs="Arial"/>
                <w:b/>
                <w:color w:val="EE0000"/>
                <w:sz w:val="28"/>
                <w:szCs w:val="28"/>
                <w:u w:val="single"/>
              </w:rPr>
              <w:lastRenderedPageBreak/>
              <w:t>5.8.2</w:t>
            </w:r>
            <w:r w:rsidRPr="005479B5">
              <w:rPr>
                <w:rFonts w:ascii="Arial" w:eastAsia="標楷體" w:hAnsi="Arial" w:cs="Arial"/>
                <w:b/>
                <w:color w:val="EE0000"/>
                <w:sz w:val="28"/>
                <w:szCs w:val="28"/>
                <w:u w:val="single"/>
              </w:rPr>
              <w:tab/>
            </w:r>
            <w:r w:rsidRPr="005479B5">
              <w:rPr>
                <w:rFonts w:ascii="Arial" w:eastAsia="標楷體" w:hAnsi="Arial" w:cs="Arial"/>
                <w:b/>
                <w:color w:val="EE0000"/>
                <w:sz w:val="28"/>
                <w:szCs w:val="28"/>
                <w:u w:val="single"/>
              </w:rPr>
              <w:t>重要關聯性之風險管理</w:t>
            </w:r>
          </w:p>
          <w:p w14:paraId="35F1E6AC" w14:textId="77777777" w:rsidR="00B820C5" w:rsidRPr="005479B5" w:rsidRDefault="00B820C5" w:rsidP="00FA6F58">
            <w:pPr>
              <w:pStyle w:val="a8"/>
              <w:numPr>
                <w:ilvl w:val="0"/>
                <w:numId w:val="15"/>
              </w:numPr>
              <w:spacing w:beforeLines="50" w:before="180" w:line="400" w:lineRule="exact"/>
              <w:ind w:leftChars="0" w:left="321" w:hanging="320"/>
              <w:jc w:val="both"/>
              <w:rPr>
                <w:rFonts w:ascii="Arial" w:eastAsia="標楷體" w:hAnsi="Arial" w:cs="Arial"/>
                <w:color w:val="EE0000"/>
                <w:sz w:val="28"/>
                <w:szCs w:val="28"/>
                <w:u w:val="single"/>
              </w:rPr>
            </w:pPr>
            <w:r w:rsidRPr="005479B5">
              <w:rPr>
                <w:rFonts w:ascii="Arial" w:eastAsia="標楷體" w:hAnsi="Arial" w:cs="Arial"/>
                <w:color w:val="EE0000"/>
                <w:sz w:val="28"/>
                <w:szCs w:val="28"/>
                <w:u w:val="single"/>
              </w:rPr>
              <w:t>為辨識集團風險來源，保險業應先辨識集團其他成員，因此保險業應考量該保險業之轄下成員，並將所有與該保險業屬同一合併財務報表內之法人機構納入。</w:t>
            </w:r>
          </w:p>
          <w:p w14:paraId="1C2B17B3" w14:textId="77777777" w:rsidR="00B820C5" w:rsidRPr="005479B5" w:rsidRDefault="00B820C5" w:rsidP="00FA6F58">
            <w:pPr>
              <w:pStyle w:val="a8"/>
              <w:numPr>
                <w:ilvl w:val="0"/>
                <w:numId w:val="15"/>
              </w:numPr>
              <w:spacing w:beforeLines="50" w:before="180" w:line="400" w:lineRule="exact"/>
              <w:ind w:leftChars="0" w:left="321" w:hanging="320"/>
              <w:jc w:val="both"/>
              <w:rPr>
                <w:rFonts w:ascii="Arial" w:eastAsia="標楷體" w:hAnsi="Arial" w:cs="Arial"/>
                <w:color w:val="EE0000"/>
                <w:sz w:val="28"/>
                <w:szCs w:val="28"/>
                <w:u w:val="single"/>
              </w:rPr>
            </w:pPr>
            <w:r w:rsidRPr="005479B5">
              <w:rPr>
                <w:rFonts w:ascii="Arial" w:eastAsia="標楷體" w:hAnsi="Arial" w:cs="Arial"/>
                <w:color w:val="EE0000"/>
                <w:sz w:val="28"/>
                <w:szCs w:val="28"/>
                <w:u w:val="single"/>
              </w:rPr>
              <w:t>保險業應識別其與集團其他成員之間的重要關聯性，將因此而生之風險納入風險管理流程。</w:t>
            </w:r>
          </w:p>
          <w:p w14:paraId="3C38DEE2" w14:textId="77777777" w:rsidR="00B820C5" w:rsidRPr="005479B5" w:rsidRDefault="00B820C5" w:rsidP="00FA6F58">
            <w:pPr>
              <w:pStyle w:val="a8"/>
              <w:numPr>
                <w:ilvl w:val="0"/>
                <w:numId w:val="15"/>
              </w:numPr>
              <w:spacing w:beforeLines="50" w:before="180" w:line="400" w:lineRule="exact"/>
              <w:ind w:leftChars="0" w:left="321" w:hanging="320"/>
              <w:jc w:val="both"/>
              <w:rPr>
                <w:rFonts w:ascii="Arial" w:eastAsia="標楷體" w:hAnsi="Arial" w:cs="Arial"/>
                <w:color w:val="EE0000"/>
                <w:sz w:val="28"/>
                <w:szCs w:val="28"/>
                <w:u w:val="single"/>
              </w:rPr>
            </w:pPr>
            <w:r w:rsidRPr="005479B5">
              <w:rPr>
                <w:rFonts w:ascii="Arial" w:eastAsia="標楷體" w:hAnsi="Arial" w:cs="Arial"/>
                <w:color w:val="EE0000"/>
                <w:sz w:val="28"/>
                <w:szCs w:val="28"/>
                <w:u w:val="single"/>
              </w:rPr>
              <w:t>保險業之集團風險管理機制係</w:t>
            </w:r>
            <w:proofErr w:type="gramStart"/>
            <w:r w:rsidRPr="005479B5">
              <w:rPr>
                <w:rFonts w:ascii="Arial" w:eastAsia="標楷體" w:hAnsi="Arial" w:cs="Arial"/>
                <w:color w:val="EE0000"/>
                <w:sz w:val="28"/>
                <w:szCs w:val="28"/>
                <w:u w:val="single"/>
              </w:rPr>
              <w:t>依循總</w:t>
            </w:r>
            <w:proofErr w:type="gramEnd"/>
            <w:r w:rsidRPr="005479B5">
              <w:rPr>
                <w:rFonts w:ascii="Arial" w:eastAsia="標楷體" w:hAnsi="Arial" w:cs="Arial"/>
                <w:color w:val="EE0000"/>
                <w:sz w:val="28"/>
                <w:szCs w:val="28"/>
                <w:u w:val="single"/>
              </w:rPr>
              <w:t>(</w:t>
            </w:r>
            <w:r w:rsidRPr="005479B5">
              <w:rPr>
                <w:rFonts w:ascii="Arial" w:eastAsia="標楷體" w:hAnsi="Arial" w:cs="Arial"/>
                <w:color w:val="EE0000"/>
                <w:sz w:val="28"/>
                <w:szCs w:val="28"/>
                <w:u w:val="single"/>
              </w:rPr>
              <w:t>母</w:t>
            </w:r>
            <w:r w:rsidRPr="005479B5">
              <w:rPr>
                <w:rFonts w:ascii="Arial" w:eastAsia="標楷體" w:hAnsi="Arial" w:cs="Arial"/>
                <w:color w:val="EE0000"/>
                <w:sz w:val="28"/>
                <w:szCs w:val="28"/>
                <w:u w:val="single"/>
              </w:rPr>
              <w:t>)</w:t>
            </w:r>
            <w:r w:rsidRPr="005479B5">
              <w:rPr>
                <w:rFonts w:ascii="Arial" w:eastAsia="標楷體" w:hAnsi="Arial" w:cs="Arial"/>
                <w:color w:val="EE0000"/>
                <w:sz w:val="28"/>
                <w:szCs w:val="28"/>
                <w:u w:val="single"/>
              </w:rPr>
              <w:t>公司相關規定，</w:t>
            </w:r>
            <w:proofErr w:type="gramStart"/>
            <w:r w:rsidRPr="005479B5">
              <w:rPr>
                <w:rFonts w:ascii="Arial" w:eastAsia="標楷體" w:hAnsi="Arial" w:cs="Arial"/>
                <w:color w:val="EE0000"/>
                <w:sz w:val="28"/>
                <w:szCs w:val="28"/>
                <w:u w:val="single"/>
              </w:rPr>
              <w:t>採</w:t>
            </w:r>
            <w:proofErr w:type="gramEnd"/>
            <w:r w:rsidRPr="005479B5">
              <w:rPr>
                <w:rFonts w:ascii="Arial" w:eastAsia="標楷體" w:hAnsi="Arial" w:cs="Arial"/>
                <w:color w:val="EE0000"/>
                <w:sz w:val="28"/>
                <w:szCs w:val="28"/>
                <w:u w:val="single"/>
              </w:rPr>
              <w:t>行與前二項規範內容相當或較先進之方法辦理並提出相關證明文件者，則不在此限。</w:t>
            </w:r>
          </w:p>
        </w:tc>
        <w:tc>
          <w:tcPr>
            <w:tcW w:w="3308" w:type="dxa"/>
          </w:tcPr>
          <w:p w14:paraId="6CCB480F" w14:textId="77777777" w:rsidR="00B820C5" w:rsidRPr="00EE2628" w:rsidRDefault="00B820C5" w:rsidP="00FA6F58">
            <w:pPr>
              <w:spacing w:line="400" w:lineRule="exact"/>
              <w:jc w:val="both"/>
              <w:outlineLvl w:val="1"/>
              <w:rPr>
                <w:rFonts w:ascii="Arial" w:eastAsia="標楷體" w:hAnsi="Arial" w:cs="Arial"/>
                <w:sz w:val="28"/>
                <w:szCs w:val="28"/>
              </w:rPr>
            </w:pPr>
            <w:r w:rsidRPr="00EE2628">
              <w:rPr>
                <w:rFonts w:ascii="Arial" w:eastAsia="標楷體" w:hAnsi="Arial" w:cs="Arial"/>
                <w:sz w:val="28"/>
                <w:szCs w:val="28"/>
              </w:rPr>
              <w:t>(NA)</w:t>
            </w:r>
          </w:p>
        </w:tc>
        <w:tc>
          <w:tcPr>
            <w:tcW w:w="3308" w:type="dxa"/>
          </w:tcPr>
          <w:p w14:paraId="4D985DFC" w14:textId="77777777" w:rsidR="00B820C5" w:rsidRPr="00EE2628" w:rsidRDefault="00B820C5" w:rsidP="00FA6F58">
            <w:pPr>
              <w:pStyle w:val="a8"/>
              <w:numPr>
                <w:ilvl w:val="0"/>
                <w:numId w:val="6"/>
              </w:numPr>
              <w:spacing w:line="400" w:lineRule="exact"/>
              <w:ind w:leftChars="0" w:left="369" w:hanging="369"/>
              <w:jc w:val="both"/>
              <w:rPr>
                <w:rFonts w:ascii="Arial" w:eastAsia="標楷體" w:hAnsi="Arial" w:cs="Arial"/>
                <w:sz w:val="28"/>
                <w:szCs w:val="28"/>
              </w:rPr>
            </w:pPr>
            <w:proofErr w:type="gramStart"/>
            <w:r w:rsidRPr="00EE2628">
              <w:rPr>
                <w:rFonts w:ascii="Arial" w:eastAsia="標楷體" w:hAnsi="Arial" w:cs="Arial" w:hint="eastAsia"/>
                <w:sz w:val="28"/>
                <w:szCs w:val="28"/>
              </w:rPr>
              <w:t>賡</w:t>
            </w:r>
            <w:proofErr w:type="gramEnd"/>
            <w:r w:rsidRPr="00EE2628">
              <w:rPr>
                <w:rFonts w:ascii="Arial" w:eastAsia="標楷體" w:hAnsi="Arial" w:cs="Arial" w:hint="eastAsia"/>
                <w:sz w:val="28"/>
                <w:szCs w:val="28"/>
              </w:rPr>
              <w:t>續</w:t>
            </w:r>
            <w:r w:rsidRPr="00EE2628">
              <w:rPr>
                <w:rFonts w:ascii="Arial" w:eastAsia="標楷體" w:hAnsi="Arial" w:cs="Arial" w:hint="eastAsia"/>
                <w:sz w:val="28"/>
                <w:szCs w:val="28"/>
              </w:rPr>
              <w:t>5.8.1</w:t>
            </w:r>
            <w:r w:rsidRPr="00EE2628">
              <w:rPr>
                <w:rFonts w:ascii="Arial" w:eastAsia="標楷體" w:hAnsi="Arial" w:cs="Arial" w:hint="eastAsia"/>
                <w:sz w:val="28"/>
                <w:szCs w:val="28"/>
              </w:rPr>
              <w:t>條之訂定，</w:t>
            </w:r>
            <w:r w:rsidRPr="00EE2628">
              <w:rPr>
                <w:rFonts w:ascii="Arial" w:eastAsia="標楷體" w:hAnsi="Arial" w:cs="Arial"/>
                <w:sz w:val="28"/>
                <w:szCs w:val="28"/>
              </w:rPr>
              <w:t>載明集團風險管理機制之基本</w:t>
            </w:r>
            <w:r w:rsidRPr="00EE2628">
              <w:rPr>
                <w:rFonts w:ascii="Arial" w:eastAsia="標楷體" w:hAnsi="Arial" w:cs="Arial" w:hint="eastAsia"/>
                <w:sz w:val="28"/>
                <w:szCs w:val="28"/>
              </w:rPr>
              <w:t>內容，確保</w:t>
            </w:r>
            <w:r w:rsidRPr="00EE2628">
              <w:rPr>
                <w:rFonts w:ascii="Arial" w:eastAsia="標楷體" w:hAnsi="Arial" w:cs="Arial"/>
                <w:sz w:val="28"/>
                <w:szCs w:val="28"/>
              </w:rPr>
              <w:t>公司能夠識別重要關聯性，將因此而生之風險納入風險管理流程。</w:t>
            </w:r>
          </w:p>
          <w:p w14:paraId="695A742C" w14:textId="77777777" w:rsidR="00B820C5" w:rsidRPr="00EE2628" w:rsidRDefault="00B820C5" w:rsidP="00FA6F58">
            <w:pPr>
              <w:pStyle w:val="a8"/>
              <w:numPr>
                <w:ilvl w:val="0"/>
                <w:numId w:val="6"/>
              </w:numPr>
              <w:spacing w:line="400" w:lineRule="exact"/>
              <w:ind w:leftChars="0" w:left="369" w:hanging="369"/>
              <w:jc w:val="both"/>
              <w:rPr>
                <w:rFonts w:ascii="Arial" w:eastAsia="標楷體" w:hAnsi="Arial" w:cs="Arial"/>
                <w:sz w:val="28"/>
                <w:szCs w:val="28"/>
              </w:rPr>
            </w:pPr>
            <w:r w:rsidRPr="00EE2628">
              <w:rPr>
                <w:rFonts w:ascii="Arial" w:eastAsia="標楷體" w:hAnsi="Arial" w:cs="Arial" w:hint="eastAsia"/>
                <w:sz w:val="28"/>
                <w:szCs w:val="28"/>
              </w:rPr>
              <w:t>參考香港保監局</w:t>
            </w:r>
            <w:r w:rsidRPr="00EE2628">
              <w:rPr>
                <w:rFonts w:ascii="Arial" w:eastAsia="標楷體" w:hAnsi="Arial" w:cs="Arial" w:hint="eastAsia"/>
                <w:sz w:val="28"/>
                <w:szCs w:val="28"/>
              </w:rPr>
              <w:t>GL 21-</w:t>
            </w:r>
            <w:r w:rsidRPr="00EE2628">
              <w:t xml:space="preserve"> </w:t>
            </w:r>
            <w:r w:rsidRPr="00EE2628">
              <w:rPr>
                <w:rFonts w:ascii="Arial" w:eastAsia="標楷體" w:hAnsi="Arial" w:cs="Arial"/>
                <w:sz w:val="28"/>
                <w:szCs w:val="28"/>
              </w:rPr>
              <w:t>GUIDELINE</w:t>
            </w:r>
            <w:r w:rsidRPr="00EE2628">
              <w:rPr>
                <w:rFonts w:ascii="Arial" w:eastAsia="標楷體" w:hAnsi="Arial" w:cs="Arial" w:hint="eastAsia"/>
                <w:sz w:val="28"/>
                <w:szCs w:val="28"/>
              </w:rPr>
              <w:t xml:space="preserve"> </w:t>
            </w:r>
            <w:r w:rsidRPr="00EE2628">
              <w:rPr>
                <w:rFonts w:ascii="Arial" w:eastAsia="標楷體" w:hAnsi="Arial" w:cs="Arial"/>
                <w:sz w:val="28"/>
                <w:szCs w:val="28"/>
              </w:rPr>
              <w:t>ON</w:t>
            </w:r>
            <w:r w:rsidRPr="00EE2628">
              <w:rPr>
                <w:rFonts w:ascii="Arial" w:eastAsia="標楷體" w:hAnsi="Arial" w:cs="Arial" w:hint="eastAsia"/>
                <w:sz w:val="28"/>
                <w:szCs w:val="28"/>
              </w:rPr>
              <w:t xml:space="preserve"> </w:t>
            </w:r>
            <w:r w:rsidRPr="00EE2628">
              <w:rPr>
                <w:rFonts w:ascii="Arial" w:eastAsia="標楷體" w:hAnsi="Arial" w:cs="Arial"/>
                <w:sz w:val="28"/>
                <w:szCs w:val="28"/>
              </w:rPr>
              <w:t>ENTERPRISE RISK MANAGEMENT</w:t>
            </w:r>
            <w:r w:rsidRPr="00EE2628">
              <w:rPr>
                <w:rFonts w:ascii="Arial" w:eastAsia="標楷體" w:hAnsi="Arial" w:cs="Arial" w:hint="eastAsia"/>
                <w:sz w:val="28"/>
                <w:szCs w:val="28"/>
              </w:rPr>
              <w:t>之</w:t>
            </w:r>
            <w:r w:rsidRPr="00EE2628">
              <w:rPr>
                <w:rFonts w:ascii="Arial" w:eastAsia="標楷體" w:hAnsi="Arial" w:cs="Arial"/>
                <w:sz w:val="28"/>
                <w:szCs w:val="28"/>
              </w:rPr>
              <w:t xml:space="preserve">Annex A </w:t>
            </w:r>
            <w:proofErr w:type="gramStart"/>
            <w:r w:rsidRPr="00EE2628">
              <w:rPr>
                <w:rFonts w:ascii="Arial" w:eastAsia="標楷體" w:hAnsi="Arial" w:cs="Arial"/>
                <w:sz w:val="28"/>
                <w:szCs w:val="28"/>
              </w:rPr>
              <w:t>–</w:t>
            </w:r>
            <w:proofErr w:type="gramEnd"/>
            <w:r w:rsidRPr="00EE2628">
              <w:rPr>
                <w:rFonts w:ascii="Arial" w:eastAsia="標楷體" w:hAnsi="Arial" w:cs="Arial"/>
                <w:sz w:val="28"/>
                <w:szCs w:val="28"/>
              </w:rPr>
              <w:t xml:space="preserve"> Identification of Group</w:t>
            </w:r>
            <w:r w:rsidRPr="00EE2628">
              <w:rPr>
                <w:rFonts w:ascii="Arial" w:eastAsia="標楷體" w:hAnsi="Arial" w:cs="Arial" w:hint="eastAsia"/>
                <w:sz w:val="28"/>
                <w:szCs w:val="28"/>
              </w:rPr>
              <w:t>以及保險核心原則</w:t>
            </w:r>
            <w:r w:rsidRPr="00EE2628">
              <w:rPr>
                <w:rFonts w:ascii="Arial" w:eastAsia="標楷體" w:hAnsi="Arial" w:cs="Arial"/>
                <w:sz w:val="28"/>
                <w:szCs w:val="28"/>
              </w:rPr>
              <w:t>CF 16.1.c</w:t>
            </w:r>
            <w:r w:rsidRPr="00EE2628">
              <w:rPr>
                <w:rFonts w:ascii="Arial" w:eastAsia="標楷體" w:hAnsi="Arial" w:cs="Arial" w:hint="eastAsia"/>
                <w:sz w:val="28"/>
                <w:szCs w:val="28"/>
              </w:rPr>
              <w:t>相關內容訂定</w:t>
            </w:r>
            <w:r w:rsidRPr="00EE2628">
              <w:rPr>
                <w:rFonts w:ascii="Arial" w:eastAsia="標楷體" w:hAnsi="Arial" w:cs="Arial"/>
                <w:sz w:val="28"/>
                <w:szCs w:val="28"/>
              </w:rPr>
              <w:t>。</w:t>
            </w:r>
          </w:p>
        </w:tc>
      </w:tr>
      <w:tr w:rsidR="00B820C5" w:rsidRPr="00EE2628" w14:paraId="542CC9BB" w14:textId="77777777" w:rsidTr="007B126F">
        <w:trPr>
          <w:trHeight w:val="957"/>
          <w:jc w:val="center"/>
        </w:trPr>
        <w:tc>
          <w:tcPr>
            <w:tcW w:w="3307" w:type="dxa"/>
          </w:tcPr>
          <w:p w14:paraId="60DF237C" w14:textId="77777777" w:rsidR="00B820C5" w:rsidRPr="005479B5" w:rsidRDefault="00B820C5" w:rsidP="00FA6F58">
            <w:pPr>
              <w:spacing w:afterLines="50" w:after="180" w:line="400" w:lineRule="exact"/>
              <w:jc w:val="both"/>
              <w:rPr>
                <w:rFonts w:ascii="Arial" w:eastAsia="標楷體" w:hAnsi="Arial" w:cs="Arial"/>
                <w:b/>
                <w:color w:val="EE0000"/>
                <w:sz w:val="28"/>
                <w:szCs w:val="28"/>
                <w:u w:val="single"/>
              </w:rPr>
            </w:pPr>
            <w:r w:rsidRPr="005479B5">
              <w:rPr>
                <w:rFonts w:ascii="Arial" w:eastAsia="標楷體" w:hAnsi="Arial" w:cs="Arial"/>
                <w:b/>
                <w:color w:val="EE0000"/>
                <w:sz w:val="28"/>
                <w:szCs w:val="28"/>
                <w:u w:val="single"/>
              </w:rPr>
              <w:t>5.8.3</w:t>
            </w:r>
            <w:r w:rsidRPr="005479B5">
              <w:rPr>
                <w:rFonts w:ascii="Arial" w:eastAsia="標楷體" w:hAnsi="Arial" w:cs="Arial"/>
                <w:b/>
                <w:color w:val="EE0000"/>
                <w:sz w:val="28"/>
                <w:szCs w:val="28"/>
                <w:u w:val="single"/>
              </w:rPr>
              <w:t>督導轄下成員風險管理</w:t>
            </w:r>
            <w:r w:rsidRPr="005479B5">
              <w:rPr>
                <w:rFonts w:ascii="Arial" w:eastAsia="標楷體" w:hAnsi="Arial" w:cs="Arial"/>
                <w:b/>
                <w:color w:val="EE0000"/>
                <w:sz w:val="28"/>
                <w:szCs w:val="28"/>
                <w:u w:val="single"/>
              </w:rPr>
              <w:t>(</w:t>
            </w:r>
            <w:r w:rsidRPr="005479B5">
              <w:rPr>
                <w:rFonts w:ascii="Arial" w:eastAsia="標楷體" w:hAnsi="Arial" w:cs="Arial"/>
                <w:b/>
                <w:color w:val="EE0000"/>
                <w:sz w:val="28"/>
                <w:szCs w:val="28"/>
                <w:u w:val="single"/>
              </w:rPr>
              <w:t>不適用於非金融業</w:t>
            </w:r>
            <w:r w:rsidRPr="005479B5">
              <w:rPr>
                <w:rFonts w:ascii="Arial" w:eastAsia="標楷體" w:hAnsi="Arial" w:cs="Arial"/>
                <w:b/>
                <w:color w:val="EE0000"/>
                <w:sz w:val="28"/>
                <w:szCs w:val="28"/>
                <w:u w:val="single"/>
              </w:rPr>
              <w:t>)</w:t>
            </w:r>
          </w:p>
          <w:p w14:paraId="6B6138D7" w14:textId="77777777" w:rsidR="00B820C5" w:rsidRPr="005479B5" w:rsidRDefault="00B820C5" w:rsidP="00FA6F58">
            <w:pPr>
              <w:spacing w:afterLines="50" w:after="180" w:line="400" w:lineRule="exact"/>
              <w:jc w:val="both"/>
              <w:rPr>
                <w:rFonts w:ascii="Arial" w:eastAsia="標楷體" w:hAnsi="Arial" w:cs="Arial"/>
                <w:color w:val="EE0000"/>
                <w:kern w:val="0"/>
                <w:sz w:val="28"/>
                <w:szCs w:val="28"/>
                <w:u w:val="single"/>
              </w:rPr>
            </w:pPr>
            <w:r w:rsidRPr="005479B5">
              <w:rPr>
                <w:rFonts w:ascii="Arial" w:eastAsia="標楷體" w:hAnsi="Arial" w:cs="Arial"/>
                <w:color w:val="EE0000"/>
                <w:kern w:val="0"/>
                <w:sz w:val="28"/>
                <w:szCs w:val="28"/>
                <w:u w:val="single"/>
              </w:rPr>
              <w:t>保險業應</w:t>
            </w:r>
            <w:r w:rsidRPr="005479B5">
              <w:rPr>
                <w:rFonts w:ascii="Arial" w:eastAsia="標楷體" w:hAnsi="Arial" w:cs="Arial"/>
                <w:color w:val="EE0000"/>
                <w:sz w:val="28"/>
                <w:szCs w:val="28"/>
                <w:u w:val="single"/>
              </w:rPr>
              <w:t>督導其轄下成員風險管理之有效執行</w:t>
            </w:r>
            <w:r w:rsidRPr="005479B5">
              <w:rPr>
                <w:rFonts w:ascii="Arial" w:eastAsia="標楷體" w:hAnsi="Arial" w:cs="Arial"/>
                <w:color w:val="EE0000"/>
                <w:kern w:val="0"/>
                <w:sz w:val="28"/>
                <w:szCs w:val="28"/>
                <w:u w:val="single"/>
              </w:rPr>
              <w:t>，具體</w:t>
            </w:r>
            <w:r w:rsidRPr="005479B5">
              <w:rPr>
                <w:rFonts w:ascii="Arial" w:eastAsia="標楷體" w:hAnsi="Arial" w:cs="Arial" w:hint="eastAsia"/>
                <w:color w:val="EE0000"/>
                <w:kern w:val="0"/>
                <w:sz w:val="28"/>
                <w:szCs w:val="28"/>
                <w:u w:val="single"/>
              </w:rPr>
              <w:t>工作</w:t>
            </w:r>
            <w:r w:rsidRPr="005479B5">
              <w:rPr>
                <w:rFonts w:ascii="Arial" w:eastAsia="標楷體" w:hAnsi="Arial" w:cs="Arial"/>
                <w:color w:val="EE0000"/>
                <w:kern w:val="0"/>
                <w:sz w:val="28"/>
                <w:szCs w:val="28"/>
                <w:u w:val="single"/>
              </w:rPr>
              <w:t>應包含下列項目：</w:t>
            </w:r>
          </w:p>
          <w:p w14:paraId="0BCE866C" w14:textId="77777777" w:rsidR="00B820C5" w:rsidRPr="005479B5" w:rsidRDefault="00B820C5" w:rsidP="00FA6F58">
            <w:pPr>
              <w:numPr>
                <w:ilvl w:val="0"/>
                <w:numId w:val="1"/>
              </w:numPr>
              <w:spacing w:line="400" w:lineRule="exact"/>
              <w:ind w:left="352" w:hanging="352"/>
              <w:jc w:val="both"/>
              <w:rPr>
                <w:rFonts w:ascii="Arial" w:eastAsia="標楷體" w:hAnsi="Arial" w:cs="Arial"/>
                <w:color w:val="EE0000"/>
                <w:sz w:val="28"/>
                <w:szCs w:val="28"/>
                <w:u w:val="single"/>
              </w:rPr>
            </w:pPr>
            <w:r w:rsidRPr="005479B5">
              <w:rPr>
                <w:rFonts w:ascii="Arial" w:eastAsia="標楷體" w:hAnsi="Arial" w:cs="Arial"/>
                <w:color w:val="EE0000"/>
                <w:sz w:val="28"/>
                <w:szCs w:val="28"/>
                <w:u w:val="single"/>
              </w:rPr>
              <w:t>定期評估轄下成員之風險管理執行情形。</w:t>
            </w:r>
          </w:p>
          <w:p w14:paraId="0D078985" w14:textId="77777777" w:rsidR="00B820C5" w:rsidRPr="005479B5" w:rsidRDefault="00B820C5" w:rsidP="00FA6F58">
            <w:pPr>
              <w:numPr>
                <w:ilvl w:val="0"/>
                <w:numId w:val="1"/>
              </w:numPr>
              <w:spacing w:line="400" w:lineRule="exact"/>
              <w:ind w:left="352" w:hanging="352"/>
              <w:jc w:val="both"/>
              <w:rPr>
                <w:rFonts w:ascii="Arial" w:eastAsia="標楷體" w:hAnsi="Arial" w:cs="Arial"/>
                <w:color w:val="EE0000"/>
                <w:sz w:val="28"/>
                <w:szCs w:val="28"/>
                <w:u w:val="single"/>
              </w:rPr>
            </w:pPr>
            <w:r w:rsidRPr="005479B5">
              <w:rPr>
                <w:rFonts w:ascii="Arial" w:eastAsia="標楷體" w:hAnsi="Arial" w:cs="Arial"/>
                <w:color w:val="EE0000"/>
                <w:sz w:val="28"/>
                <w:szCs w:val="28"/>
                <w:u w:val="single"/>
              </w:rPr>
              <w:t>確認其轄下成員有允當之清償能力與流動性，並將其與其轄下成</w:t>
            </w:r>
            <w:r w:rsidRPr="005479B5">
              <w:rPr>
                <w:rFonts w:ascii="Arial" w:eastAsia="標楷體" w:hAnsi="Arial" w:cs="Arial"/>
                <w:color w:val="EE0000"/>
                <w:sz w:val="28"/>
                <w:szCs w:val="28"/>
                <w:u w:val="single"/>
              </w:rPr>
              <w:lastRenderedPageBreak/>
              <w:t>員間之資本</w:t>
            </w:r>
            <w:proofErr w:type="gramStart"/>
            <w:r w:rsidRPr="005479B5">
              <w:rPr>
                <w:rFonts w:ascii="Arial" w:eastAsia="標楷體" w:hAnsi="Arial" w:cs="Arial"/>
                <w:color w:val="EE0000"/>
                <w:sz w:val="28"/>
                <w:szCs w:val="28"/>
                <w:u w:val="single"/>
              </w:rPr>
              <w:t>可移換性</w:t>
            </w:r>
            <w:proofErr w:type="gramEnd"/>
            <w:r w:rsidRPr="005479B5">
              <w:rPr>
                <w:rFonts w:ascii="Arial" w:eastAsia="標楷體" w:hAnsi="Arial" w:cs="Arial"/>
                <w:color w:val="EE0000"/>
                <w:sz w:val="28"/>
                <w:szCs w:val="28"/>
                <w:u w:val="single"/>
              </w:rPr>
              <w:t>納入考量。</w:t>
            </w:r>
          </w:p>
          <w:p w14:paraId="75337434" w14:textId="77777777" w:rsidR="00B820C5" w:rsidRPr="005479B5" w:rsidRDefault="00B820C5" w:rsidP="00FA6F58">
            <w:pPr>
              <w:numPr>
                <w:ilvl w:val="0"/>
                <w:numId w:val="1"/>
              </w:numPr>
              <w:spacing w:line="400" w:lineRule="exact"/>
              <w:ind w:left="352" w:hanging="352"/>
              <w:jc w:val="both"/>
              <w:rPr>
                <w:rFonts w:ascii="Arial" w:eastAsia="標楷體" w:hAnsi="Arial" w:cs="Arial"/>
                <w:color w:val="EE0000"/>
                <w:sz w:val="28"/>
                <w:szCs w:val="28"/>
                <w:u w:val="single"/>
              </w:rPr>
            </w:pPr>
            <w:r w:rsidRPr="005479B5">
              <w:rPr>
                <w:rFonts w:ascii="Arial" w:eastAsia="標楷體" w:hAnsi="Arial" w:cs="Arial" w:hint="eastAsia"/>
                <w:color w:val="EE0000"/>
                <w:sz w:val="28"/>
                <w:szCs w:val="28"/>
                <w:u w:val="single"/>
              </w:rPr>
              <w:t>就其與其轄下成員之各項投資配置，建立各項投資風險之管理機制，並分別</w:t>
            </w:r>
            <w:proofErr w:type="gramStart"/>
            <w:r w:rsidRPr="005479B5">
              <w:rPr>
                <w:rFonts w:ascii="Arial" w:eastAsia="標楷體" w:hAnsi="Arial" w:cs="Arial" w:hint="eastAsia"/>
                <w:color w:val="EE0000"/>
                <w:sz w:val="28"/>
                <w:szCs w:val="28"/>
                <w:u w:val="single"/>
              </w:rPr>
              <w:t>揭露曝險情形</w:t>
            </w:r>
            <w:proofErr w:type="gramEnd"/>
            <w:r w:rsidRPr="005479B5">
              <w:rPr>
                <w:rFonts w:ascii="Arial" w:eastAsia="標楷體" w:hAnsi="Arial" w:cs="Arial"/>
                <w:color w:val="EE0000"/>
                <w:sz w:val="28"/>
                <w:szCs w:val="28"/>
                <w:u w:val="single"/>
              </w:rPr>
              <w:t>。</w:t>
            </w:r>
          </w:p>
        </w:tc>
        <w:tc>
          <w:tcPr>
            <w:tcW w:w="3308" w:type="dxa"/>
          </w:tcPr>
          <w:p w14:paraId="51FDD445" w14:textId="77777777" w:rsidR="00B820C5" w:rsidRPr="00EE2628" w:rsidRDefault="00B820C5" w:rsidP="00FA6F58">
            <w:pPr>
              <w:spacing w:line="400" w:lineRule="exact"/>
              <w:jc w:val="both"/>
              <w:outlineLvl w:val="1"/>
              <w:rPr>
                <w:rFonts w:ascii="Arial" w:eastAsia="標楷體" w:hAnsi="Arial" w:cs="Arial"/>
                <w:sz w:val="28"/>
                <w:szCs w:val="28"/>
              </w:rPr>
            </w:pPr>
            <w:r w:rsidRPr="00EE2628">
              <w:rPr>
                <w:rFonts w:ascii="Arial" w:eastAsia="標楷體" w:hAnsi="Arial" w:cs="Arial"/>
                <w:sz w:val="28"/>
                <w:szCs w:val="28"/>
              </w:rPr>
              <w:lastRenderedPageBreak/>
              <w:t>(NA)</w:t>
            </w:r>
          </w:p>
        </w:tc>
        <w:tc>
          <w:tcPr>
            <w:tcW w:w="3308" w:type="dxa"/>
          </w:tcPr>
          <w:p w14:paraId="11C52BC4" w14:textId="77777777" w:rsidR="00B820C5" w:rsidRPr="00FA6BC9" w:rsidRDefault="00B820C5" w:rsidP="00FA6F58">
            <w:pPr>
              <w:spacing w:line="400" w:lineRule="exact"/>
              <w:jc w:val="both"/>
              <w:rPr>
                <w:rFonts w:ascii="Arial" w:eastAsia="標楷體" w:hAnsi="Arial" w:cs="Arial"/>
                <w:sz w:val="28"/>
                <w:szCs w:val="28"/>
              </w:rPr>
            </w:pPr>
            <w:proofErr w:type="gramStart"/>
            <w:r w:rsidRPr="00FA6BC9">
              <w:rPr>
                <w:rFonts w:ascii="Arial" w:eastAsia="標楷體" w:hAnsi="Arial" w:cs="Arial" w:hint="eastAsia"/>
                <w:sz w:val="28"/>
                <w:szCs w:val="28"/>
              </w:rPr>
              <w:t>賡</w:t>
            </w:r>
            <w:proofErr w:type="gramEnd"/>
            <w:r w:rsidRPr="00FA6BC9">
              <w:rPr>
                <w:rFonts w:ascii="Arial" w:eastAsia="標楷體" w:hAnsi="Arial" w:cs="Arial" w:hint="eastAsia"/>
                <w:sz w:val="28"/>
                <w:szCs w:val="28"/>
              </w:rPr>
              <w:t>續</w:t>
            </w:r>
            <w:r w:rsidRPr="00FA6BC9">
              <w:rPr>
                <w:rFonts w:ascii="Arial" w:eastAsia="標楷體" w:hAnsi="Arial" w:cs="Arial" w:hint="eastAsia"/>
                <w:sz w:val="28"/>
                <w:szCs w:val="28"/>
              </w:rPr>
              <w:t>5.8.1</w:t>
            </w:r>
            <w:r w:rsidRPr="00FA6BC9">
              <w:rPr>
                <w:rFonts w:ascii="Arial" w:eastAsia="標楷體" w:hAnsi="Arial" w:cs="Arial" w:hint="eastAsia"/>
                <w:sz w:val="28"/>
                <w:szCs w:val="28"/>
              </w:rPr>
              <w:t>條之訂定，參考「金融控股公司及銀行業內部控制及稽核制度實施辦法」第</w:t>
            </w:r>
            <w:r w:rsidRPr="00FA6BC9">
              <w:rPr>
                <w:rFonts w:ascii="Arial" w:eastAsia="標楷體" w:hAnsi="Arial" w:cs="Arial" w:hint="eastAsia"/>
                <w:sz w:val="28"/>
                <w:szCs w:val="28"/>
              </w:rPr>
              <w:t xml:space="preserve">37 </w:t>
            </w:r>
            <w:r w:rsidRPr="00FA6BC9">
              <w:rPr>
                <w:rFonts w:ascii="Arial" w:eastAsia="標楷體" w:hAnsi="Arial" w:cs="Arial" w:hint="eastAsia"/>
                <w:sz w:val="28"/>
                <w:szCs w:val="28"/>
              </w:rPr>
              <w:t>條之內容，</w:t>
            </w:r>
            <w:r w:rsidRPr="00FA6BC9">
              <w:rPr>
                <w:rFonts w:ascii="Arial" w:eastAsia="標楷體" w:hAnsi="Arial" w:cs="Arial"/>
                <w:sz w:val="28"/>
                <w:szCs w:val="28"/>
              </w:rPr>
              <w:t>載明</w:t>
            </w:r>
            <w:r w:rsidRPr="00FA6BC9">
              <w:rPr>
                <w:rFonts w:ascii="Arial" w:eastAsia="標楷體" w:hAnsi="Arial" w:cs="Arial" w:hint="eastAsia"/>
                <w:sz w:val="28"/>
                <w:szCs w:val="28"/>
              </w:rPr>
              <w:t>保險公司就轄下成員風險管理之基本要求</w:t>
            </w:r>
            <w:r w:rsidRPr="00FA6BC9">
              <w:rPr>
                <w:rFonts w:ascii="Arial" w:eastAsia="標楷體" w:hAnsi="Arial" w:cs="Arial"/>
                <w:sz w:val="28"/>
                <w:szCs w:val="28"/>
              </w:rPr>
              <w:t>，以確保公司能有效</w:t>
            </w:r>
            <w:r w:rsidRPr="00FA6BC9">
              <w:rPr>
                <w:rFonts w:ascii="Arial" w:eastAsia="標楷體" w:hAnsi="Arial" w:cs="Arial" w:hint="eastAsia"/>
                <w:sz w:val="28"/>
                <w:szCs w:val="28"/>
              </w:rPr>
              <w:t>督導轄下成員之</w:t>
            </w:r>
            <w:r w:rsidRPr="00FA6BC9">
              <w:rPr>
                <w:rFonts w:ascii="Arial" w:eastAsia="標楷體" w:hAnsi="Arial" w:cs="Arial"/>
                <w:sz w:val="28"/>
                <w:szCs w:val="28"/>
              </w:rPr>
              <w:t>風險</w:t>
            </w:r>
            <w:r w:rsidRPr="00FA6BC9">
              <w:rPr>
                <w:rFonts w:ascii="Arial" w:eastAsia="標楷體" w:hAnsi="Arial" w:cs="Arial" w:hint="eastAsia"/>
                <w:sz w:val="28"/>
                <w:szCs w:val="28"/>
              </w:rPr>
              <w:t>管理</w:t>
            </w:r>
            <w:r w:rsidRPr="00FA6BC9">
              <w:rPr>
                <w:rFonts w:ascii="Arial" w:eastAsia="標楷體" w:hAnsi="Arial" w:cs="Arial"/>
                <w:sz w:val="28"/>
                <w:szCs w:val="28"/>
              </w:rPr>
              <w:t>。</w:t>
            </w:r>
          </w:p>
        </w:tc>
      </w:tr>
      <w:tr w:rsidR="00B820C5" w:rsidRPr="00EE2628" w14:paraId="00F8B3D3" w14:textId="77777777" w:rsidTr="007B126F">
        <w:trPr>
          <w:trHeight w:val="1030"/>
          <w:jc w:val="center"/>
        </w:trPr>
        <w:tc>
          <w:tcPr>
            <w:tcW w:w="3307" w:type="dxa"/>
          </w:tcPr>
          <w:p w14:paraId="5543E85E" w14:textId="77777777" w:rsidR="00B820C5" w:rsidRPr="00EE2628" w:rsidRDefault="00B820C5" w:rsidP="00FA6F58">
            <w:pPr>
              <w:spacing w:line="400" w:lineRule="exact"/>
              <w:jc w:val="both"/>
              <w:outlineLvl w:val="1"/>
              <w:rPr>
                <w:rFonts w:ascii="Arial" w:eastAsia="標楷體" w:hAnsi="Arial" w:cs="Arial"/>
                <w:b/>
                <w:sz w:val="28"/>
                <w:szCs w:val="28"/>
              </w:rPr>
            </w:pPr>
            <w:r w:rsidRPr="00B4615E">
              <w:rPr>
                <w:rFonts w:ascii="Arial" w:eastAsia="標楷體" w:hAnsi="Arial" w:cs="Arial" w:hint="eastAsia"/>
                <w:b/>
                <w:sz w:val="28"/>
                <w:szCs w:val="28"/>
              </w:rPr>
              <w:t>5.</w:t>
            </w:r>
            <w:r w:rsidRPr="00686D4A">
              <w:rPr>
                <w:rFonts w:ascii="Arial" w:eastAsia="標楷體" w:hAnsi="Arial" w:cs="Arial" w:hint="eastAsia"/>
                <w:b/>
                <w:color w:val="EE0000"/>
                <w:sz w:val="28"/>
                <w:szCs w:val="28"/>
                <w:u w:val="single"/>
              </w:rPr>
              <w:t>9</w:t>
            </w:r>
            <w:r w:rsidRPr="005479B5">
              <w:rPr>
                <w:rFonts w:ascii="Arial" w:eastAsia="標楷體" w:hAnsi="Arial" w:cs="Arial" w:hint="eastAsia"/>
                <w:b/>
                <w:color w:val="EE0000"/>
                <w:sz w:val="28"/>
                <w:szCs w:val="28"/>
              </w:rPr>
              <w:t xml:space="preserve"> </w:t>
            </w:r>
            <w:r w:rsidRPr="00EE2628">
              <w:rPr>
                <w:rFonts w:ascii="Arial" w:eastAsia="標楷體" w:hAnsi="Arial" w:cs="Arial" w:hint="eastAsia"/>
                <w:b/>
                <w:sz w:val="28"/>
                <w:szCs w:val="28"/>
              </w:rPr>
              <w:t>其他風險</w:t>
            </w:r>
          </w:p>
          <w:p w14:paraId="29364B65" w14:textId="77777777" w:rsidR="00B820C5" w:rsidRPr="00EE2628" w:rsidRDefault="00B820C5" w:rsidP="00FA6F58">
            <w:pPr>
              <w:spacing w:line="400" w:lineRule="exact"/>
              <w:jc w:val="both"/>
              <w:rPr>
                <w:rFonts w:ascii="Arial" w:eastAsia="標楷體" w:hAnsi="Arial" w:cs="Arial"/>
                <w:sz w:val="28"/>
                <w:szCs w:val="28"/>
              </w:rPr>
            </w:pPr>
            <w:r w:rsidRPr="00EE2628">
              <w:rPr>
                <w:rFonts w:ascii="Arial" w:eastAsia="標楷體" w:hAnsi="Arial" w:cs="Arial" w:hint="eastAsia"/>
                <w:sz w:val="28"/>
                <w:szCs w:val="28"/>
              </w:rPr>
              <w:t>(</w:t>
            </w:r>
            <w:r w:rsidRPr="00EE2628">
              <w:rPr>
                <w:rFonts w:ascii="Arial" w:eastAsia="標楷體" w:hAnsi="Arial" w:cs="Arial" w:hint="eastAsia"/>
                <w:sz w:val="28"/>
                <w:szCs w:val="28"/>
              </w:rPr>
              <w:t>略</w:t>
            </w:r>
            <w:r w:rsidRPr="00EE2628">
              <w:rPr>
                <w:rFonts w:ascii="Arial" w:eastAsia="標楷體" w:hAnsi="Arial" w:cs="Arial" w:hint="eastAsia"/>
                <w:sz w:val="28"/>
                <w:szCs w:val="28"/>
              </w:rPr>
              <w:t>)</w:t>
            </w:r>
          </w:p>
        </w:tc>
        <w:tc>
          <w:tcPr>
            <w:tcW w:w="3308" w:type="dxa"/>
          </w:tcPr>
          <w:p w14:paraId="22F73517" w14:textId="77777777" w:rsidR="00B820C5" w:rsidRPr="00EE2628" w:rsidRDefault="00B820C5" w:rsidP="00FA6F58">
            <w:pPr>
              <w:spacing w:line="400" w:lineRule="exact"/>
              <w:jc w:val="both"/>
              <w:outlineLvl w:val="1"/>
              <w:rPr>
                <w:rFonts w:ascii="Arial" w:eastAsia="標楷體" w:hAnsi="Arial" w:cs="Arial"/>
                <w:b/>
                <w:sz w:val="28"/>
                <w:szCs w:val="28"/>
              </w:rPr>
            </w:pPr>
            <w:r w:rsidRPr="00B4615E">
              <w:rPr>
                <w:rFonts w:ascii="Arial" w:eastAsia="標楷體" w:hAnsi="Arial" w:cs="Arial" w:hint="eastAsia"/>
                <w:b/>
                <w:sz w:val="28"/>
                <w:szCs w:val="28"/>
              </w:rPr>
              <w:t>5.</w:t>
            </w:r>
            <w:r w:rsidRPr="00686D4A">
              <w:rPr>
                <w:rFonts w:ascii="Arial" w:eastAsia="標楷體" w:hAnsi="Arial" w:cs="Arial" w:hint="eastAsia"/>
                <w:b/>
                <w:color w:val="EE0000"/>
                <w:sz w:val="28"/>
                <w:szCs w:val="28"/>
                <w:u w:val="single"/>
              </w:rPr>
              <w:t>8</w:t>
            </w:r>
            <w:r w:rsidRPr="00EE2628">
              <w:rPr>
                <w:rFonts w:ascii="Arial" w:eastAsia="標楷體" w:hAnsi="Arial" w:cs="Arial" w:hint="eastAsia"/>
                <w:b/>
                <w:sz w:val="28"/>
                <w:szCs w:val="28"/>
              </w:rPr>
              <w:t xml:space="preserve"> </w:t>
            </w:r>
            <w:r w:rsidRPr="00EE2628">
              <w:rPr>
                <w:rFonts w:ascii="Arial" w:eastAsia="標楷體" w:hAnsi="Arial" w:cs="Arial" w:hint="eastAsia"/>
                <w:b/>
                <w:sz w:val="28"/>
                <w:szCs w:val="28"/>
              </w:rPr>
              <w:t>其他風險</w:t>
            </w:r>
          </w:p>
          <w:p w14:paraId="00BC6D34" w14:textId="77777777" w:rsidR="00B820C5" w:rsidRPr="00EE2628" w:rsidRDefault="00B820C5" w:rsidP="00FA6F58">
            <w:pPr>
              <w:spacing w:line="400" w:lineRule="exact"/>
              <w:jc w:val="both"/>
              <w:outlineLvl w:val="1"/>
              <w:rPr>
                <w:rFonts w:ascii="Arial" w:eastAsia="標楷體" w:hAnsi="Arial" w:cs="Arial"/>
                <w:sz w:val="28"/>
                <w:szCs w:val="28"/>
              </w:rPr>
            </w:pPr>
            <w:r w:rsidRPr="00EE2628">
              <w:rPr>
                <w:rFonts w:ascii="Arial" w:eastAsia="標楷體" w:hAnsi="Arial" w:cs="Arial" w:hint="eastAsia"/>
                <w:sz w:val="28"/>
                <w:szCs w:val="28"/>
              </w:rPr>
              <w:t>(</w:t>
            </w:r>
            <w:r w:rsidRPr="00EE2628">
              <w:rPr>
                <w:rFonts w:ascii="Arial" w:eastAsia="標楷體" w:hAnsi="Arial" w:cs="Arial" w:hint="eastAsia"/>
                <w:sz w:val="28"/>
                <w:szCs w:val="28"/>
              </w:rPr>
              <w:t>略</w:t>
            </w:r>
            <w:r w:rsidRPr="00EE2628">
              <w:rPr>
                <w:rFonts w:ascii="Arial" w:eastAsia="標楷體" w:hAnsi="Arial" w:cs="Arial" w:hint="eastAsia"/>
                <w:sz w:val="28"/>
                <w:szCs w:val="28"/>
              </w:rPr>
              <w:t>)</w:t>
            </w:r>
          </w:p>
        </w:tc>
        <w:tc>
          <w:tcPr>
            <w:tcW w:w="3308" w:type="dxa"/>
          </w:tcPr>
          <w:p w14:paraId="57B6200F" w14:textId="77777777" w:rsidR="00B820C5" w:rsidRPr="00EE2628" w:rsidRDefault="00B820C5" w:rsidP="00FA6F58">
            <w:pPr>
              <w:spacing w:line="400" w:lineRule="exact"/>
              <w:jc w:val="both"/>
              <w:rPr>
                <w:rFonts w:ascii="Arial" w:eastAsia="標楷體" w:hAnsi="Arial" w:cs="Arial"/>
                <w:sz w:val="28"/>
                <w:szCs w:val="28"/>
              </w:rPr>
            </w:pPr>
            <w:r w:rsidRPr="00EE2628">
              <w:rPr>
                <w:rFonts w:ascii="Arial" w:eastAsia="標楷體" w:hAnsi="Arial" w:cs="Arial" w:hint="eastAsia"/>
                <w:sz w:val="28"/>
                <w:szCs w:val="28"/>
              </w:rPr>
              <w:t>條次修訂</w:t>
            </w:r>
          </w:p>
        </w:tc>
      </w:tr>
    </w:tbl>
    <w:p w14:paraId="7494314C" w14:textId="17D536B3" w:rsidR="005C2A69" w:rsidRPr="00EE2628" w:rsidRDefault="005C2A69" w:rsidP="00FA6F58">
      <w:pPr>
        <w:widowControl/>
        <w:spacing w:line="400" w:lineRule="exact"/>
        <w:rPr>
          <w:rFonts w:ascii="Arial" w:eastAsia="標楷體" w:hAnsi="Arial" w:cs="Arial"/>
          <w:sz w:val="28"/>
          <w:szCs w:val="28"/>
        </w:rPr>
      </w:pPr>
    </w:p>
    <w:sectPr w:rsidR="005C2A69" w:rsidRPr="00EE2628" w:rsidSect="00A34797">
      <w:footerReference w:type="default" r:id="rId8"/>
      <w:pgSz w:w="11906" w:h="16838"/>
      <w:pgMar w:top="851" w:right="1418" w:bottom="1440" w:left="141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D5D2E3" w14:textId="77777777" w:rsidR="00625665" w:rsidRDefault="00625665" w:rsidP="006A6749">
      <w:r>
        <w:separator/>
      </w:r>
    </w:p>
  </w:endnote>
  <w:endnote w:type="continuationSeparator" w:id="0">
    <w:p w14:paraId="17F25A1C" w14:textId="77777777" w:rsidR="00625665" w:rsidRDefault="00625665" w:rsidP="006A67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標楷體">
    <w:altName w:val=".D·￠Ae"/>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857424"/>
      <w:docPartObj>
        <w:docPartGallery w:val="Page Numbers (Bottom of Page)"/>
        <w:docPartUnique/>
      </w:docPartObj>
    </w:sdtPr>
    <w:sdtContent>
      <w:p w14:paraId="4C9A01C0" w14:textId="77777777" w:rsidR="00732D89" w:rsidRDefault="00870D3D" w:rsidP="00D515D8">
        <w:pPr>
          <w:pStyle w:val="a5"/>
          <w:jc w:val="center"/>
        </w:pPr>
        <w:r>
          <w:fldChar w:fldCharType="begin"/>
        </w:r>
        <w:r>
          <w:instrText xml:space="preserve"> PAGE   \* MERGEFORMAT </w:instrText>
        </w:r>
        <w:r>
          <w:fldChar w:fldCharType="separate"/>
        </w:r>
        <w:r w:rsidR="009173C9" w:rsidRPr="009173C9">
          <w:rPr>
            <w:noProof/>
            <w:lang w:val="zh-TW"/>
          </w:rPr>
          <w:t>2</w:t>
        </w:r>
        <w:r>
          <w:rPr>
            <w:noProof/>
            <w:lang w:val="zh-TW"/>
          </w:rPr>
          <w:fldChar w:fldCharType="end"/>
        </w:r>
      </w:p>
    </w:sdtContent>
  </w:sdt>
  <w:p w14:paraId="4B41F971" w14:textId="77777777" w:rsidR="00732D89" w:rsidRDefault="00732D89">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C4B2AF" w14:textId="77777777" w:rsidR="00625665" w:rsidRDefault="00625665" w:rsidP="006A6749">
      <w:r>
        <w:separator/>
      </w:r>
    </w:p>
  </w:footnote>
  <w:footnote w:type="continuationSeparator" w:id="0">
    <w:p w14:paraId="6D708EE5" w14:textId="77777777" w:rsidR="00625665" w:rsidRDefault="00625665" w:rsidP="006A674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91CE0"/>
    <w:multiLevelType w:val="hybridMultilevel"/>
    <w:tmpl w:val="F73EA68C"/>
    <w:lvl w:ilvl="0" w:tplc="0409000F">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028068B"/>
    <w:multiLevelType w:val="hybridMultilevel"/>
    <w:tmpl w:val="7CD8CA24"/>
    <w:lvl w:ilvl="0" w:tplc="72BE4504">
      <w:start w:val="1"/>
      <w:numFmt w:val="decimal"/>
      <w:lvlText w:val="%1."/>
      <w:lvlJc w:val="left"/>
      <w:pPr>
        <w:tabs>
          <w:tab w:val="num" w:pos="480"/>
        </w:tabs>
        <w:ind w:left="480" w:hanging="480"/>
      </w:pPr>
      <w:rPr>
        <w:b w:val="0"/>
        <w:sz w:val="28"/>
        <w:szCs w:val="28"/>
      </w:rPr>
    </w:lvl>
    <w:lvl w:ilvl="1" w:tplc="0EB44B1A">
      <w:start w:val="1"/>
      <w:numFmt w:val="decimal"/>
      <w:lvlText w:val="(%2)"/>
      <w:lvlJc w:val="left"/>
      <w:pPr>
        <w:tabs>
          <w:tab w:val="num" w:pos="840"/>
        </w:tabs>
        <w:ind w:left="840" w:hanging="360"/>
      </w:pPr>
      <w:rPr>
        <w:rFonts w:ascii="Book Antiqua" w:eastAsia="新細明體"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15:restartNumberingAfterBreak="0">
    <w:nsid w:val="17571010"/>
    <w:multiLevelType w:val="hybridMultilevel"/>
    <w:tmpl w:val="E3D2A6E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FBD5A81"/>
    <w:multiLevelType w:val="hybridMultilevel"/>
    <w:tmpl w:val="E54C4BBA"/>
    <w:lvl w:ilvl="0" w:tplc="70FE5758">
      <w:start w:val="1"/>
      <w:numFmt w:val="decimal"/>
      <w:lvlText w:val="%1."/>
      <w:lvlJc w:val="left"/>
      <w:pPr>
        <w:tabs>
          <w:tab w:val="num" w:pos="480"/>
        </w:tabs>
        <w:ind w:left="480" w:hanging="480"/>
      </w:pPr>
      <w:rPr>
        <w:b w:val="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20627D1B"/>
    <w:multiLevelType w:val="hybridMultilevel"/>
    <w:tmpl w:val="73F049E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36F1BF6"/>
    <w:multiLevelType w:val="hybridMultilevel"/>
    <w:tmpl w:val="A4FCF75C"/>
    <w:lvl w:ilvl="0" w:tplc="3FC839B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59210D5"/>
    <w:multiLevelType w:val="hybridMultilevel"/>
    <w:tmpl w:val="AB94BC4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86A25B1"/>
    <w:multiLevelType w:val="hybridMultilevel"/>
    <w:tmpl w:val="F73EA68C"/>
    <w:lvl w:ilvl="0" w:tplc="0409000F">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AC90D0E"/>
    <w:multiLevelType w:val="hybridMultilevel"/>
    <w:tmpl w:val="E54C4BBA"/>
    <w:lvl w:ilvl="0" w:tplc="70FE5758">
      <w:start w:val="1"/>
      <w:numFmt w:val="decimal"/>
      <w:lvlText w:val="%1."/>
      <w:lvlJc w:val="left"/>
      <w:pPr>
        <w:tabs>
          <w:tab w:val="num" w:pos="480"/>
        </w:tabs>
        <w:ind w:left="480" w:hanging="480"/>
      </w:pPr>
      <w:rPr>
        <w:b w:val="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15:restartNumberingAfterBreak="0">
    <w:nsid w:val="42C70315"/>
    <w:multiLevelType w:val="hybridMultilevel"/>
    <w:tmpl w:val="CB8075D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45E0593F"/>
    <w:multiLevelType w:val="hybridMultilevel"/>
    <w:tmpl w:val="26B41E8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4A5D1013"/>
    <w:multiLevelType w:val="hybridMultilevel"/>
    <w:tmpl w:val="CB8075D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4B36118C"/>
    <w:multiLevelType w:val="hybridMultilevel"/>
    <w:tmpl w:val="4DA64DF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4CB9185C"/>
    <w:multiLevelType w:val="hybridMultilevel"/>
    <w:tmpl w:val="C65AF124"/>
    <w:lvl w:ilvl="0" w:tplc="EAB602D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4E414A8E"/>
    <w:multiLevelType w:val="hybridMultilevel"/>
    <w:tmpl w:val="4C9ECF70"/>
    <w:lvl w:ilvl="0" w:tplc="4AA64F7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4E5F50B1"/>
    <w:multiLevelType w:val="hybridMultilevel"/>
    <w:tmpl w:val="F73EA68C"/>
    <w:lvl w:ilvl="0" w:tplc="0409000F">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53C74F02"/>
    <w:multiLevelType w:val="hybridMultilevel"/>
    <w:tmpl w:val="B5F4CB18"/>
    <w:lvl w:ilvl="0" w:tplc="3FC839B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5AE01126"/>
    <w:multiLevelType w:val="hybridMultilevel"/>
    <w:tmpl w:val="D0BEBD7A"/>
    <w:lvl w:ilvl="0" w:tplc="0409000F">
      <w:start w:val="1"/>
      <w:numFmt w:val="decimal"/>
      <w:lvlText w:val="%1."/>
      <w:lvlJc w:val="left"/>
      <w:pPr>
        <w:ind w:left="481" w:hanging="480"/>
      </w:pPr>
    </w:lvl>
    <w:lvl w:ilvl="1" w:tplc="04090019" w:tentative="1">
      <w:start w:val="1"/>
      <w:numFmt w:val="ideographTraditional"/>
      <w:lvlText w:val="%2、"/>
      <w:lvlJc w:val="left"/>
      <w:pPr>
        <w:ind w:left="961" w:hanging="480"/>
      </w:pPr>
    </w:lvl>
    <w:lvl w:ilvl="2" w:tplc="0409001B" w:tentative="1">
      <w:start w:val="1"/>
      <w:numFmt w:val="lowerRoman"/>
      <w:lvlText w:val="%3."/>
      <w:lvlJc w:val="right"/>
      <w:pPr>
        <w:ind w:left="1441" w:hanging="480"/>
      </w:pPr>
    </w:lvl>
    <w:lvl w:ilvl="3" w:tplc="0409000F" w:tentative="1">
      <w:start w:val="1"/>
      <w:numFmt w:val="decimal"/>
      <w:lvlText w:val="%4."/>
      <w:lvlJc w:val="left"/>
      <w:pPr>
        <w:ind w:left="1921" w:hanging="480"/>
      </w:pPr>
    </w:lvl>
    <w:lvl w:ilvl="4" w:tplc="04090019" w:tentative="1">
      <w:start w:val="1"/>
      <w:numFmt w:val="ideographTraditional"/>
      <w:lvlText w:val="%5、"/>
      <w:lvlJc w:val="left"/>
      <w:pPr>
        <w:ind w:left="2401" w:hanging="480"/>
      </w:pPr>
    </w:lvl>
    <w:lvl w:ilvl="5" w:tplc="0409001B" w:tentative="1">
      <w:start w:val="1"/>
      <w:numFmt w:val="lowerRoman"/>
      <w:lvlText w:val="%6."/>
      <w:lvlJc w:val="right"/>
      <w:pPr>
        <w:ind w:left="2881" w:hanging="480"/>
      </w:pPr>
    </w:lvl>
    <w:lvl w:ilvl="6" w:tplc="0409000F" w:tentative="1">
      <w:start w:val="1"/>
      <w:numFmt w:val="decimal"/>
      <w:lvlText w:val="%7."/>
      <w:lvlJc w:val="left"/>
      <w:pPr>
        <w:ind w:left="3361" w:hanging="480"/>
      </w:pPr>
    </w:lvl>
    <w:lvl w:ilvl="7" w:tplc="04090019" w:tentative="1">
      <w:start w:val="1"/>
      <w:numFmt w:val="ideographTraditional"/>
      <w:lvlText w:val="%8、"/>
      <w:lvlJc w:val="left"/>
      <w:pPr>
        <w:ind w:left="3841" w:hanging="480"/>
      </w:pPr>
    </w:lvl>
    <w:lvl w:ilvl="8" w:tplc="0409001B" w:tentative="1">
      <w:start w:val="1"/>
      <w:numFmt w:val="lowerRoman"/>
      <w:lvlText w:val="%9."/>
      <w:lvlJc w:val="right"/>
      <w:pPr>
        <w:ind w:left="4321" w:hanging="480"/>
      </w:pPr>
    </w:lvl>
  </w:abstractNum>
  <w:abstractNum w:abstractNumId="18" w15:restartNumberingAfterBreak="0">
    <w:nsid w:val="5B005505"/>
    <w:multiLevelType w:val="hybridMultilevel"/>
    <w:tmpl w:val="AB94BC4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5F377C0B"/>
    <w:multiLevelType w:val="hybridMultilevel"/>
    <w:tmpl w:val="8A6A7524"/>
    <w:lvl w:ilvl="0" w:tplc="0409000F">
      <w:start w:val="1"/>
      <w:numFmt w:val="decimal"/>
      <w:lvlText w:val="%1."/>
      <w:lvlJc w:val="left"/>
      <w:pPr>
        <w:tabs>
          <w:tab w:val="num" w:pos="480"/>
        </w:tabs>
        <w:ind w:left="480" w:hanging="480"/>
      </w:pPr>
    </w:lvl>
    <w:lvl w:ilvl="1" w:tplc="0EB44B1A">
      <w:start w:val="1"/>
      <w:numFmt w:val="decimal"/>
      <w:lvlText w:val="(%2)"/>
      <w:lvlJc w:val="left"/>
      <w:pPr>
        <w:tabs>
          <w:tab w:val="num" w:pos="840"/>
        </w:tabs>
        <w:ind w:left="840" w:hanging="360"/>
      </w:pPr>
      <w:rPr>
        <w:rFonts w:ascii="Book Antiqua" w:eastAsia="新細明體"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 w15:restartNumberingAfterBreak="0">
    <w:nsid w:val="5FA92805"/>
    <w:multiLevelType w:val="hybridMultilevel"/>
    <w:tmpl w:val="F73EA68C"/>
    <w:lvl w:ilvl="0" w:tplc="0409000F">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66312F29"/>
    <w:multiLevelType w:val="hybridMultilevel"/>
    <w:tmpl w:val="E808F9EA"/>
    <w:lvl w:ilvl="0" w:tplc="04090003">
      <w:start w:val="1"/>
      <w:numFmt w:val="bullet"/>
      <w:lvlText w:val=""/>
      <w:lvlJc w:val="left"/>
      <w:pPr>
        <w:ind w:left="480" w:hanging="480"/>
      </w:pPr>
      <w:rPr>
        <w:rFonts w:ascii="Wingdings" w:hAnsi="Wingdings" w:hint="default"/>
      </w:rPr>
    </w:lvl>
    <w:lvl w:ilvl="1" w:tplc="04090003">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2" w15:restartNumberingAfterBreak="0">
    <w:nsid w:val="677D71AE"/>
    <w:multiLevelType w:val="hybridMultilevel"/>
    <w:tmpl w:val="D0BEBD7A"/>
    <w:lvl w:ilvl="0" w:tplc="0409000F">
      <w:start w:val="1"/>
      <w:numFmt w:val="decimal"/>
      <w:lvlText w:val="%1."/>
      <w:lvlJc w:val="left"/>
      <w:pPr>
        <w:ind w:left="481" w:hanging="480"/>
      </w:pPr>
    </w:lvl>
    <w:lvl w:ilvl="1" w:tplc="04090019" w:tentative="1">
      <w:start w:val="1"/>
      <w:numFmt w:val="ideographTraditional"/>
      <w:lvlText w:val="%2、"/>
      <w:lvlJc w:val="left"/>
      <w:pPr>
        <w:ind w:left="961" w:hanging="480"/>
      </w:pPr>
    </w:lvl>
    <w:lvl w:ilvl="2" w:tplc="0409001B" w:tentative="1">
      <w:start w:val="1"/>
      <w:numFmt w:val="lowerRoman"/>
      <w:lvlText w:val="%3."/>
      <w:lvlJc w:val="right"/>
      <w:pPr>
        <w:ind w:left="1441" w:hanging="480"/>
      </w:pPr>
    </w:lvl>
    <w:lvl w:ilvl="3" w:tplc="0409000F" w:tentative="1">
      <w:start w:val="1"/>
      <w:numFmt w:val="decimal"/>
      <w:lvlText w:val="%4."/>
      <w:lvlJc w:val="left"/>
      <w:pPr>
        <w:ind w:left="1921" w:hanging="480"/>
      </w:pPr>
    </w:lvl>
    <w:lvl w:ilvl="4" w:tplc="04090019" w:tentative="1">
      <w:start w:val="1"/>
      <w:numFmt w:val="ideographTraditional"/>
      <w:lvlText w:val="%5、"/>
      <w:lvlJc w:val="left"/>
      <w:pPr>
        <w:ind w:left="2401" w:hanging="480"/>
      </w:pPr>
    </w:lvl>
    <w:lvl w:ilvl="5" w:tplc="0409001B" w:tentative="1">
      <w:start w:val="1"/>
      <w:numFmt w:val="lowerRoman"/>
      <w:lvlText w:val="%6."/>
      <w:lvlJc w:val="right"/>
      <w:pPr>
        <w:ind w:left="2881" w:hanging="480"/>
      </w:pPr>
    </w:lvl>
    <w:lvl w:ilvl="6" w:tplc="0409000F" w:tentative="1">
      <w:start w:val="1"/>
      <w:numFmt w:val="decimal"/>
      <w:lvlText w:val="%7."/>
      <w:lvlJc w:val="left"/>
      <w:pPr>
        <w:ind w:left="3361" w:hanging="480"/>
      </w:pPr>
    </w:lvl>
    <w:lvl w:ilvl="7" w:tplc="04090019" w:tentative="1">
      <w:start w:val="1"/>
      <w:numFmt w:val="ideographTraditional"/>
      <w:lvlText w:val="%8、"/>
      <w:lvlJc w:val="left"/>
      <w:pPr>
        <w:ind w:left="3841" w:hanging="480"/>
      </w:pPr>
    </w:lvl>
    <w:lvl w:ilvl="8" w:tplc="0409001B" w:tentative="1">
      <w:start w:val="1"/>
      <w:numFmt w:val="lowerRoman"/>
      <w:lvlText w:val="%9."/>
      <w:lvlJc w:val="right"/>
      <w:pPr>
        <w:ind w:left="4321" w:hanging="480"/>
      </w:pPr>
    </w:lvl>
  </w:abstractNum>
  <w:abstractNum w:abstractNumId="23" w15:restartNumberingAfterBreak="0">
    <w:nsid w:val="6BEA3E8D"/>
    <w:multiLevelType w:val="hybridMultilevel"/>
    <w:tmpl w:val="CB8075D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73BC3326"/>
    <w:multiLevelType w:val="hybridMultilevel"/>
    <w:tmpl w:val="D160F51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7599519D"/>
    <w:multiLevelType w:val="hybridMultilevel"/>
    <w:tmpl w:val="D160F51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7D7F349B"/>
    <w:multiLevelType w:val="hybridMultilevel"/>
    <w:tmpl w:val="D6EE108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7E815F02"/>
    <w:multiLevelType w:val="hybridMultilevel"/>
    <w:tmpl w:val="4DA64DF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746537316">
    <w:abstractNumId w:val="0"/>
  </w:num>
  <w:num w:numId="2" w16cid:durableId="1665159229">
    <w:abstractNumId w:val="21"/>
  </w:num>
  <w:num w:numId="3" w16cid:durableId="1036156481">
    <w:abstractNumId w:val="16"/>
  </w:num>
  <w:num w:numId="4" w16cid:durableId="999968279">
    <w:abstractNumId w:val="27"/>
  </w:num>
  <w:num w:numId="5" w16cid:durableId="345407016">
    <w:abstractNumId w:val="18"/>
  </w:num>
  <w:num w:numId="6" w16cid:durableId="973607162">
    <w:abstractNumId w:val="24"/>
  </w:num>
  <w:num w:numId="7" w16cid:durableId="1930889813">
    <w:abstractNumId w:val="25"/>
  </w:num>
  <w:num w:numId="8" w16cid:durableId="1460879373">
    <w:abstractNumId w:val="15"/>
  </w:num>
  <w:num w:numId="9" w16cid:durableId="711736198">
    <w:abstractNumId w:val="7"/>
  </w:num>
  <w:num w:numId="10" w16cid:durableId="459080585">
    <w:abstractNumId w:val="23"/>
  </w:num>
  <w:num w:numId="11" w16cid:durableId="1311591666">
    <w:abstractNumId w:val="5"/>
  </w:num>
  <w:num w:numId="12" w16cid:durableId="1188757859">
    <w:abstractNumId w:val="9"/>
  </w:num>
  <w:num w:numId="13" w16cid:durableId="1536582346">
    <w:abstractNumId w:val="11"/>
  </w:num>
  <w:num w:numId="14" w16cid:durableId="841552916">
    <w:abstractNumId w:val="20"/>
  </w:num>
  <w:num w:numId="15" w16cid:durableId="1822380729">
    <w:abstractNumId w:val="22"/>
  </w:num>
  <w:num w:numId="16" w16cid:durableId="249508352">
    <w:abstractNumId w:val="12"/>
  </w:num>
  <w:num w:numId="17" w16cid:durableId="1574583424">
    <w:abstractNumId w:val="17"/>
  </w:num>
  <w:num w:numId="18" w16cid:durableId="1792430073">
    <w:abstractNumId w:val="4"/>
  </w:num>
  <w:num w:numId="19" w16cid:durableId="286930390">
    <w:abstractNumId w:val="6"/>
  </w:num>
  <w:num w:numId="20" w16cid:durableId="1305619191">
    <w:abstractNumId w:val="1"/>
  </w:num>
  <w:num w:numId="21" w16cid:durableId="1822961384">
    <w:abstractNumId w:val="19"/>
  </w:num>
  <w:num w:numId="22" w16cid:durableId="175190531">
    <w:abstractNumId w:val="2"/>
  </w:num>
  <w:num w:numId="23" w16cid:durableId="949317617">
    <w:abstractNumId w:val="3"/>
  </w:num>
  <w:num w:numId="24" w16cid:durableId="2036423337">
    <w:abstractNumId w:val="8"/>
  </w:num>
  <w:num w:numId="25" w16cid:durableId="604850261">
    <w:abstractNumId w:val="26"/>
  </w:num>
  <w:num w:numId="26" w16cid:durableId="1507282997">
    <w:abstractNumId w:val="10"/>
  </w:num>
  <w:num w:numId="27" w16cid:durableId="200944793">
    <w:abstractNumId w:val="13"/>
  </w:num>
  <w:num w:numId="28" w16cid:durableId="285281144">
    <w:abstractNumId w:val="14"/>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5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6749"/>
    <w:rsid w:val="0000046C"/>
    <w:rsid w:val="00000AD3"/>
    <w:rsid w:val="000016CE"/>
    <w:rsid w:val="00004EBB"/>
    <w:rsid w:val="00005612"/>
    <w:rsid w:val="00007B13"/>
    <w:rsid w:val="00013625"/>
    <w:rsid w:val="00017EE8"/>
    <w:rsid w:val="00020424"/>
    <w:rsid w:val="00024AA5"/>
    <w:rsid w:val="000270ED"/>
    <w:rsid w:val="000326C6"/>
    <w:rsid w:val="000330A2"/>
    <w:rsid w:val="0003691E"/>
    <w:rsid w:val="0003710B"/>
    <w:rsid w:val="00042F7E"/>
    <w:rsid w:val="00043991"/>
    <w:rsid w:val="00043A46"/>
    <w:rsid w:val="00047094"/>
    <w:rsid w:val="0004710B"/>
    <w:rsid w:val="00051A60"/>
    <w:rsid w:val="000541BA"/>
    <w:rsid w:val="00055147"/>
    <w:rsid w:val="00055E80"/>
    <w:rsid w:val="000566CF"/>
    <w:rsid w:val="00060631"/>
    <w:rsid w:val="00060A3D"/>
    <w:rsid w:val="0006160F"/>
    <w:rsid w:val="00061D2C"/>
    <w:rsid w:val="00064BDD"/>
    <w:rsid w:val="000677B4"/>
    <w:rsid w:val="00071340"/>
    <w:rsid w:val="000731C4"/>
    <w:rsid w:val="00073527"/>
    <w:rsid w:val="00074ED5"/>
    <w:rsid w:val="00074FD9"/>
    <w:rsid w:val="00085485"/>
    <w:rsid w:val="00086658"/>
    <w:rsid w:val="00086A6F"/>
    <w:rsid w:val="00087EFF"/>
    <w:rsid w:val="00090598"/>
    <w:rsid w:val="000905C1"/>
    <w:rsid w:val="000935C6"/>
    <w:rsid w:val="00094E97"/>
    <w:rsid w:val="000953BD"/>
    <w:rsid w:val="000A1CF3"/>
    <w:rsid w:val="000A2302"/>
    <w:rsid w:val="000A2DF9"/>
    <w:rsid w:val="000A79DB"/>
    <w:rsid w:val="000B4621"/>
    <w:rsid w:val="000B714F"/>
    <w:rsid w:val="000B7B7E"/>
    <w:rsid w:val="000B7B84"/>
    <w:rsid w:val="000C1F5E"/>
    <w:rsid w:val="000C4B5A"/>
    <w:rsid w:val="000C4DAD"/>
    <w:rsid w:val="000C5DFC"/>
    <w:rsid w:val="000C7650"/>
    <w:rsid w:val="000C7D82"/>
    <w:rsid w:val="000C7E15"/>
    <w:rsid w:val="000D2DD3"/>
    <w:rsid w:val="000E0923"/>
    <w:rsid w:val="000E1872"/>
    <w:rsid w:val="000E4AE0"/>
    <w:rsid w:val="000E5C94"/>
    <w:rsid w:val="000E7608"/>
    <w:rsid w:val="000E77CC"/>
    <w:rsid w:val="000F1813"/>
    <w:rsid w:val="000F3AFA"/>
    <w:rsid w:val="000F4009"/>
    <w:rsid w:val="000F5DB6"/>
    <w:rsid w:val="000F60AE"/>
    <w:rsid w:val="000F735C"/>
    <w:rsid w:val="000F7660"/>
    <w:rsid w:val="0010146A"/>
    <w:rsid w:val="00101DD8"/>
    <w:rsid w:val="00101DD9"/>
    <w:rsid w:val="00112C84"/>
    <w:rsid w:val="001131C3"/>
    <w:rsid w:val="001141CC"/>
    <w:rsid w:val="00120A02"/>
    <w:rsid w:val="00126E83"/>
    <w:rsid w:val="0013001B"/>
    <w:rsid w:val="00131B52"/>
    <w:rsid w:val="00132198"/>
    <w:rsid w:val="001322F0"/>
    <w:rsid w:val="00132961"/>
    <w:rsid w:val="00133EDB"/>
    <w:rsid w:val="00133F37"/>
    <w:rsid w:val="00135DF3"/>
    <w:rsid w:val="00135E6B"/>
    <w:rsid w:val="00135EA6"/>
    <w:rsid w:val="001368FF"/>
    <w:rsid w:val="00137BD6"/>
    <w:rsid w:val="00146060"/>
    <w:rsid w:val="001508CC"/>
    <w:rsid w:val="00151372"/>
    <w:rsid w:val="00152161"/>
    <w:rsid w:val="00153686"/>
    <w:rsid w:val="00153D44"/>
    <w:rsid w:val="00164768"/>
    <w:rsid w:val="00170055"/>
    <w:rsid w:val="00170704"/>
    <w:rsid w:val="00172B3A"/>
    <w:rsid w:val="001754C4"/>
    <w:rsid w:val="00175872"/>
    <w:rsid w:val="00184C34"/>
    <w:rsid w:val="00184E1C"/>
    <w:rsid w:val="00185AD2"/>
    <w:rsid w:val="00185D30"/>
    <w:rsid w:val="00186D1F"/>
    <w:rsid w:val="00187E1B"/>
    <w:rsid w:val="001929E0"/>
    <w:rsid w:val="001950E0"/>
    <w:rsid w:val="0019510B"/>
    <w:rsid w:val="00196402"/>
    <w:rsid w:val="001A02D0"/>
    <w:rsid w:val="001A03DF"/>
    <w:rsid w:val="001A15B7"/>
    <w:rsid w:val="001B6883"/>
    <w:rsid w:val="001B74D4"/>
    <w:rsid w:val="001C1AA2"/>
    <w:rsid w:val="001C302B"/>
    <w:rsid w:val="001C452F"/>
    <w:rsid w:val="001C4550"/>
    <w:rsid w:val="001C5819"/>
    <w:rsid w:val="001C5837"/>
    <w:rsid w:val="001C5B40"/>
    <w:rsid w:val="001C7201"/>
    <w:rsid w:val="001D4575"/>
    <w:rsid w:val="001D636D"/>
    <w:rsid w:val="001D68F7"/>
    <w:rsid w:val="001D7132"/>
    <w:rsid w:val="001E2250"/>
    <w:rsid w:val="001E784F"/>
    <w:rsid w:val="001F083C"/>
    <w:rsid w:val="001F47A4"/>
    <w:rsid w:val="001F7A7E"/>
    <w:rsid w:val="00200EA5"/>
    <w:rsid w:val="002016EE"/>
    <w:rsid w:val="00201D56"/>
    <w:rsid w:val="0020293F"/>
    <w:rsid w:val="00204488"/>
    <w:rsid w:val="00204B6C"/>
    <w:rsid w:val="00206072"/>
    <w:rsid w:val="00213C1E"/>
    <w:rsid w:val="00214F6C"/>
    <w:rsid w:val="00220F90"/>
    <w:rsid w:val="002230F7"/>
    <w:rsid w:val="00230A00"/>
    <w:rsid w:val="0023169A"/>
    <w:rsid w:val="00234CB1"/>
    <w:rsid w:val="0024397C"/>
    <w:rsid w:val="002500F4"/>
    <w:rsid w:val="00252BC7"/>
    <w:rsid w:val="002533A9"/>
    <w:rsid w:val="00254468"/>
    <w:rsid w:val="002556A4"/>
    <w:rsid w:val="002576F6"/>
    <w:rsid w:val="00260D2E"/>
    <w:rsid w:val="002613EF"/>
    <w:rsid w:val="00263705"/>
    <w:rsid w:val="00264162"/>
    <w:rsid w:val="0026534A"/>
    <w:rsid w:val="00266C7F"/>
    <w:rsid w:val="00273969"/>
    <w:rsid w:val="00280AFE"/>
    <w:rsid w:val="00287498"/>
    <w:rsid w:val="00290BD1"/>
    <w:rsid w:val="00293FF0"/>
    <w:rsid w:val="00297BE8"/>
    <w:rsid w:val="002A4F7E"/>
    <w:rsid w:val="002A52C3"/>
    <w:rsid w:val="002A6A39"/>
    <w:rsid w:val="002B32B2"/>
    <w:rsid w:val="002B3B87"/>
    <w:rsid w:val="002B4022"/>
    <w:rsid w:val="002B4174"/>
    <w:rsid w:val="002C2022"/>
    <w:rsid w:val="002C29A3"/>
    <w:rsid w:val="002C433D"/>
    <w:rsid w:val="002C5A26"/>
    <w:rsid w:val="002C6227"/>
    <w:rsid w:val="002C774A"/>
    <w:rsid w:val="002D2392"/>
    <w:rsid w:val="002D5A29"/>
    <w:rsid w:val="002D647A"/>
    <w:rsid w:val="002E1360"/>
    <w:rsid w:val="002E36F8"/>
    <w:rsid w:val="002E781D"/>
    <w:rsid w:val="002E783B"/>
    <w:rsid w:val="002F4E79"/>
    <w:rsid w:val="002F5C7D"/>
    <w:rsid w:val="0030231E"/>
    <w:rsid w:val="003049B3"/>
    <w:rsid w:val="003061BA"/>
    <w:rsid w:val="00306F8C"/>
    <w:rsid w:val="0030735D"/>
    <w:rsid w:val="00307F78"/>
    <w:rsid w:val="00311275"/>
    <w:rsid w:val="0031568E"/>
    <w:rsid w:val="00315CC6"/>
    <w:rsid w:val="00317698"/>
    <w:rsid w:val="003203DD"/>
    <w:rsid w:val="003213C1"/>
    <w:rsid w:val="0032328D"/>
    <w:rsid w:val="003232C5"/>
    <w:rsid w:val="00324E75"/>
    <w:rsid w:val="003277DC"/>
    <w:rsid w:val="003352CF"/>
    <w:rsid w:val="00340F42"/>
    <w:rsid w:val="00343B0E"/>
    <w:rsid w:val="003506E2"/>
    <w:rsid w:val="00351B21"/>
    <w:rsid w:val="003527B0"/>
    <w:rsid w:val="003550E6"/>
    <w:rsid w:val="0035511F"/>
    <w:rsid w:val="00357AF6"/>
    <w:rsid w:val="003629CC"/>
    <w:rsid w:val="003708AA"/>
    <w:rsid w:val="00372B3D"/>
    <w:rsid w:val="00374B2A"/>
    <w:rsid w:val="00387FE3"/>
    <w:rsid w:val="0039726B"/>
    <w:rsid w:val="003A0072"/>
    <w:rsid w:val="003A0387"/>
    <w:rsid w:val="003A3485"/>
    <w:rsid w:val="003A4826"/>
    <w:rsid w:val="003A55D5"/>
    <w:rsid w:val="003A56C6"/>
    <w:rsid w:val="003A6594"/>
    <w:rsid w:val="003A6E31"/>
    <w:rsid w:val="003B3424"/>
    <w:rsid w:val="003B42FA"/>
    <w:rsid w:val="003B70FF"/>
    <w:rsid w:val="003C0E49"/>
    <w:rsid w:val="003C26ED"/>
    <w:rsid w:val="003C57AF"/>
    <w:rsid w:val="003D22A1"/>
    <w:rsid w:val="003D22F6"/>
    <w:rsid w:val="003D59E7"/>
    <w:rsid w:val="003E0C04"/>
    <w:rsid w:val="003E1DF2"/>
    <w:rsid w:val="003E7C25"/>
    <w:rsid w:val="003F1438"/>
    <w:rsid w:val="003F2F8E"/>
    <w:rsid w:val="003F4D7B"/>
    <w:rsid w:val="003F6E32"/>
    <w:rsid w:val="003F77FA"/>
    <w:rsid w:val="00400800"/>
    <w:rsid w:val="00400DA4"/>
    <w:rsid w:val="00405A90"/>
    <w:rsid w:val="00406534"/>
    <w:rsid w:val="0040751E"/>
    <w:rsid w:val="004121BE"/>
    <w:rsid w:val="00414354"/>
    <w:rsid w:val="00416062"/>
    <w:rsid w:val="0042120A"/>
    <w:rsid w:val="0042332B"/>
    <w:rsid w:val="00430B6D"/>
    <w:rsid w:val="00431E96"/>
    <w:rsid w:val="00436E11"/>
    <w:rsid w:val="00437532"/>
    <w:rsid w:val="00441A49"/>
    <w:rsid w:val="004438E6"/>
    <w:rsid w:val="00446892"/>
    <w:rsid w:val="00450DFE"/>
    <w:rsid w:val="00452415"/>
    <w:rsid w:val="0045399E"/>
    <w:rsid w:val="00454780"/>
    <w:rsid w:val="004556FD"/>
    <w:rsid w:val="0046062C"/>
    <w:rsid w:val="00461B9E"/>
    <w:rsid w:val="004653A1"/>
    <w:rsid w:val="00471DE6"/>
    <w:rsid w:val="00475A2D"/>
    <w:rsid w:val="00476EC3"/>
    <w:rsid w:val="00477E2A"/>
    <w:rsid w:val="00480EDD"/>
    <w:rsid w:val="004834BE"/>
    <w:rsid w:val="00483AAF"/>
    <w:rsid w:val="00484006"/>
    <w:rsid w:val="00485092"/>
    <w:rsid w:val="004874A8"/>
    <w:rsid w:val="00487607"/>
    <w:rsid w:val="00494629"/>
    <w:rsid w:val="004A1B9A"/>
    <w:rsid w:val="004A20F0"/>
    <w:rsid w:val="004A2D67"/>
    <w:rsid w:val="004A2F52"/>
    <w:rsid w:val="004A3CE1"/>
    <w:rsid w:val="004A470F"/>
    <w:rsid w:val="004A484F"/>
    <w:rsid w:val="004A699A"/>
    <w:rsid w:val="004B5796"/>
    <w:rsid w:val="004B7421"/>
    <w:rsid w:val="004B7ABC"/>
    <w:rsid w:val="004C1529"/>
    <w:rsid w:val="004C2317"/>
    <w:rsid w:val="004C245B"/>
    <w:rsid w:val="004C4BA9"/>
    <w:rsid w:val="004C592B"/>
    <w:rsid w:val="004C799B"/>
    <w:rsid w:val="004D4954"/>
    <w:rsid w:val="004D6E64"/>
    <w:rsid w:val="004E0D2B"/>
    <w:rsid w:val="004E2616"/>
    <w:rsid w:val="004E4DF8"/>
    <w:rsid w:val="004F03DD"/>
    <w:rsid w:val="004F13FC"/>
    <w:rsid w:val="004F1989"/>
    <w:rsid w:val="004F2D8E"/>
    <w:rsid w:val="004F4847"/>
    <w:rsid w:val="004F5E22"/>
    <w:rsid w:val="004F6EA1"/>
    <w:rsid w:val="0050057E"/>
    <w:rsid w:val="0050276F"/>
    <w:rsid w:val="00507DAE"/>
    <w:rsid w:val="00512C15"/>
    <w:rsid w:val="00520DE0"/>
    <w:rsid w:val="00521DD6"/>
    <w:rsid w:val="00525CD4"/>
    <w:rsid w:val="00527074"/>
    <w:rsid w:val="00531A4D"/>
    <w:rsid w:val="00531EE8"/>
    <w:rsid w:val="00533C5D"/>
    <w:rsid w:val="00533EF4"/>
    <w:rsid w:val="005340CD"/>
    <w:rsid w:val="0053590A"/>
    <w:rsid w:val="00536718"/>
    <w:rsid w:val="00540415"/>
    <w:rsid w:val="0054402C"/>
    <w:rsid w:val="005479B5"/>
    <w:rsid w:val="00552EC7"/>
    <w:rsid w:val="0056076C"/>
    <w:rsid w:val="0056109B"/>
    <w:rsid w:val="00562E52"/>
    <w:rsid w:val="005636A3"/>
    <w:rsid w:val="0056532C"/>
    <w:rsid w:val="00565F27"/>
    <w:rsid w:val="00566021"/>
    <w:rsid w:val="00571006"/>
    <w:rsid w:val="0057188C"/>
    <w:rsid w:val="0057297E"/>
    <w:rsid w:val="005742B1"/>
    <w:rsid w:val="00574C5F"/>
    <w:rsid w:val="00577442"/>
    <w:rsid w:val="00582426"/>
    <w:rsid w:val="00585133"/>
    <w:rsid w:val="0059097A"/>
    <w:rsid w:val="00593162"/>
    <w:rsid w:val="00595C60"/>
    <w:rsid w:val="00596A06"/>
    <w:rsid w:val="00596C51"/>
    <w:rsid w:val="005A2BC4"/>
    <w:rsid w:val="005A5384"/>
    <w:rsid w:val="005A5DB4"/>
    <w:rsid w:val="005A7168"/>
    <w:rsid w:val="005B0805"/>
    <w:rsid w:val="005B1620"/>
    <w:rsid w:val="005B3AD8"/>
    <w:rsid w:val="005B467B"/>
    <w:rsid w:val="005B59B9"/>
    <w:rsid w:val="005C04DC"/>
    <w:rsid w:val="005C2A69"/>
    <w:rsid w:val="005C3B1A"/>
    <w:rsid w:val="005C41A4"/>
    <w:rsid w:val="005C6246"/>
    <w:rsid w:val="005C6931"/>
    <w:rsid w:val="005C7056"/>
    <w:rsid w:val="005D45C9"/>
    <w:rsid w:val="005D4B9C"/>
    <w:rsid w:val="005D4BE8"/>
    <w:rsid w:val="005E07E4"/>
    <w:rsid w:val="005E44FE"/>
    <w:rsid w:val="005E6261"/>
    <w:rsid w:val="005F2648"/>
    <w:rsid w:val="005F3CC7"/>
    <w:rsid w:val="005F3F04"/>
    <w:rsid w:val="005F600B"/>
    <w:rsid w:val="005F749D"/>
    <w:rsid w:val="00602B9C"/>
    <w:rsid w:val="00606B25"/>
    <w:rsid w:val="00606B69"/>
    <w:rsid w:val="0061027B"/>
    <w:rsid w:val="00610318"/>
    <w:rsid w:val="006116BB"/>
    <w:rsid w:val="00615EEB"/>
    <w:rsid w:val="0062038D"/>
    <w:rsid w:val="00621E9B"/>
    <w:rsid w:val="006234AC"/>
    <w:rsid w:val="006248BA"/>
    <w:rsid w:val="00624B1F"/>
    <w:rsid w:val="006251D7"/>
    <w:rsid w:val="00625665"/>
    <w:rsid w:val="0062677F"/>
    <w:rsid w:val="00627810"/>
    <w:rsid w:val="00627EC3"/>
    <w:rsid w:val="00632975"/>
    <w:rsid w:val="006344D7"/>
    <w:rsid w:val="00634960"/>
    <w:rsid w:val="00637672"/>
    <w:rsid w:val="006426D3"/>
    <w:rsid w:val="00642C6B"/>
    <w:rsid w:val="006441E6"/>
    <w:rsid w:val="00645D22"/>
    <w:rsid w:val="00645DCE"/>
    <w:rsid w:val="00647942"/>
    <w:rsid w:val="006544F4"/>
    <w:rsid w:val="00655EDD"/>
    <w:rsid w:val="006605A8"/>
    <w:rsid w:val="00660866"/>
    <w:rsid w:val="00660943"/>
    <w:rsid w:val="0066492A"/>
    <w:rsid w:val="00664967"/>
    <w:rsid w:val="00665BB7"/>
    <w:rsid w:val="00667069"/>
    <w:rsid w:val="00667A2D"/>
    <w:rsid w:val="006704BF"/>
    <w:rsid w:val="0067091B"/>
    <w:rsid w:val="006724B9"/>
    <w:rsid w:val="006750CB"/>
    <w:rsid w:val="00675277"/>
    <w:rsid w:val="00675C32"/>
    <w:rsid w:val="00676104"/>
    <w:rsid w:val="00676BC6"/>
    <w:rsid w:val="00676CBE"/>
    <w:rsid w:val="00677259"/>
    <w:rsid w:val="00677F02"/>
    <w:rsid w:val="006828FA"/>
    <w:rsid w:val="00682F3F"/>
    <w:rsid w:val="00683663"/>
    <w:rsid w:val="00685883"/>
    <w:rsid w:val="00686D4A"/>
    <w:rsid w:val="0069031C"/>
    <w:rsid w:val="006934A6"/>
    <w:rsid w:val="00696773"/>
    <w:rsid w:val="006A284E"/>
    <w:rsid w:val="006A2AFC"/>
    <w:rsid w:val="006A6749"/>
    <w:rsid w:val="006A7033"/>
    <w:rsid w:val="006B1D0C"/>
    <w:rsid w:val="006B3F7A"/>
    <w:rsid w:val="006C1D25"/>
    <w:rsid w:val="006D0DEF"/>
    <w:rsid w:val="006D63C4"/>
    <w:rsid w:val="006E3BEA"/>
    <w:rsid w:val="006E3E77"/>
    <w:rsid w:val="006E41E6"/>
    <w:rsid w:val="006E4B64"/>
    <w:rsid w:val="006E631F"/>
    <w:rsid w:val="006E6CC7"/>
    <w:rsid w:val="006E6D19"/>
    <w:rsid w:val="006F035E"/>
    <w:rsid w:val="006F1338"/>
    <w:rsid w:val="006F537C"/>
    <w:rsid w:val="006F5A6A"/>
    <w:rsid w:val="006F7F89"/>
    <w:rsid w:val="00701C26"/>
    <w:rsid w:val="00706ED1"/>
    <w:rsid w:val="00715E63"/>
    <w:rsid w:val="00717A8D"/>
    <w:rsid w:val="007218CC"/>
    <w:rsid w:val="007247D2"/>
    <w:rsid w:val="00726496"/>
    <w:rsid w:val="00727664"/>
    <w:rsid w:val="00727EAF"/>
    <w:rsid w:val="00732BEE"/>
    <w:rsid w:val="00732D89"/>
    <w:rsid w:val="00735689"/>
    <w:rsid w:val="00740420"/>
    <w:rsid w:val="00740B47"/>
    <w:rsid w:val="00742D37"/>
    <w:rsid w:val="00747727"/>
    <w:rsid w:val="00747797"/>
    <w:rsid w:val="00755C59"/>
    <w:rsid w:val="00756488"/>
    <w:rsid w:val="00761DFA"/>
    <w:rsid w:val="00763BAC"/>
    <w:rsid w:val="007679BD"/>
    <w:rsid w:val="00773502"/>
    <w:rsid w:val="00775C8E"/>
    <w:rsid w:val="0078058D"/>
    <w:rsid w:val="0078434A"/>
    <w:rsid w:val="0078436A"/>
    <w:rsid w:val="00790FCB"/>
    <w:rsid w:val="0079112A"/>
    <w:rsid w:val="00791455"/>
    <w:rsid w:val="0079188A"/>
    <w:rsid w:val="00797019"/>
    <w:rsid w:val="0079712D"/>
    <w:rsid w:val="007A069E"/>
    <w:rsid w:val="007A3603"/>
    <w:rsid w:val="007A5BE5"/>
    <w:rsid w:val="007A70B0"/>
    <w:rsid w:val="007B126F"/>
    <w:rsid w:val="007B2B21"/>
    <w:rsid w:val="007B3707"/>
    <w:rsid w:val="007B68BA"/>
    <w:rsid w:val="007C1EB2"/>
    <w:rsid w:val="007C3568"/>
    <w:rsid w:val="007C38FA"/>
    <w:rsid w:val="007C45A6"/>
    <w:rsid w:val="007C4751"/>
    <w:rsid w:val="007C5132"/>
    <w:rsid w:val="007C5FCC"/>
    <w:rsid w:val="007C61E8"/>
    <w:rsid w:val="007D09F2"/>
    <w:rsid w:val="007D0BD3"/>
    <w:rsid w:val="007D3463"/>
    <w:rsid w:val="007D37BC"/>
    <w:rsid w:val="007D3E27"/>
    <w:rsid w:val="007D753D"/>
    <w:rsid w:val="007E004F"/>
    <w:rsid w:val="007E4826"/>
    <w:rsid w:val="007E5E6C"/>
    <w:rsid w:val="007F02F8"/>
    <w:rsid w:val="007F0F95"/>
    <w:rsid w:val="007F48C7"/>
    <w:rsid w:val="007F5F17"/>
    <w:rsid w:val="007F6E8C"/>
    <w:rsid w:val="00801A17"/>
    <w:rsid w:val="00802E1F"/>
    <w:rsid w:val="00805EA8"/>
    <w:rsid w:val="00806D19"/>
    <w:rsid w:val="00812F61"/>
    <w:rsid w:val="00816905"/>
    <w:rsid w:val="00817691"/>
    <w:rsid w:val="008177D9"/>
    <w:rsid w:val="00821B46"/>
    <w:rsid w:val="00822C90"/>
    <w:rsid w:val="008339C6"/>
    <w:rsid w:val="00843D65"/>
    <w:rsid w:val="00845392"/>
    <w:rsid w:val="0084788C"/>
    <w:rsid w:val="00854AEB"/>
    <w:rsid w:val="00856ADC"/>
    <w:rsid w:val="008606C7"/>
    <w:rsid w:val="0086212D"/>
    <w:rsid w:val="00862CC1"/>
    <w:rsid w:val="00864758"/>
    <w:rsid w:val="00864FA0"/>
    <w:rsid w:val="00870299"/>
    <w:rsid w:val="00870D3D"/>
    <w:rsid w:val="00870F8A"/>
    <w:rsid w:val="008712FA"/>
    <w:rsid w:val="00871794"/>
    <w:rsid w:val="00873C6F"/>
    <w:rsid w:val="008803E3"/>
    <w:rsid w:val="008820A1"/>
    <w:rsid w:val="00885101"/>
    <w:rsid w:val="008878FA"/>
    <w:rsid w:val="0089238B"/>
    <w:rsid w:val="00894663"/>
    <w:rsid w:val="00894A3C"/>
    <w:rsid w:val="00895865"/>
    <w:rsid w:val="008979B3"/>
    <w:rsid w:val="008A0BEA"/>
    <w:rsid w:val="008A47C2"/>
    <w:rsid w:val="008A5C55"/>
    <w:rsid w:val="008A6FFA"/>
    <w:rsid w:val="008B2FF9"/>
    <w:rsid w:val="008B46A8"/>
    <w:rsid w:val="008B5220"/>
    <w:rsid w:val="008C0DF5"/>
    <w:rsid w:val="008C1314"/>
    <w:rsid w:val="008C451A"/>
    <w:rsid w:val="008C7CF9"/>
    <w:rsid w:val="008D14E6"/>
    <w:rsid w:val="008D198B"/>
    <w:rsid w:val="008D3113"/>
    <w:rsid w:val="008D38B6"/>
    <w:rsid w:val="008D43CB"/>
    <w:rsid w:val="008D5273"/>
    <w:rsid w:val="008D534E"/>
    <w:rsid w:val="008E079A"/>
    <w:rsid w:val="008E2961"/>
    <w:rsid w:val="008E2A7C"/>
    <w:rsid w:val="008E434B"/>
    <w:rsid w:val="008E7328"/>
    <w:rsid w:val="008F094F"/>
    <w:rsid w:val="008F3B50"/>
    <w:rsid w:val="008F63A4"/>
    <w:rsid w:val="009009D7"/>
    <w:rsid w:val="00902591"/>
    <w:rsid w:val="009027FB"/>
    <w:rsid w:val="00906939"/>
    <w:rsid w:val="00906DF1"/>
    <w:rsid w:val="00911074"/>
    <w:rsid w:val="00911A44"/>
    <w:rsid w:val="0091285D"/>
    <w:rsid w:val="009173C9"/>
    <w:rsid w:val="00922957"/>
    <w:rsid w:val="009232DD"/>
    <w:rsid w:val="00924C45"/>
    <w:rsid w:val="009264A1"/>
    <w:rsid w:val="0092682C"/>
    <w:rsid w:val="0093436C"/>
    <w:rsid w:val="00935D61"/>
    <w:rsid w:val="0094209E"/>
    <w:rsid w:val="009422BF"/>
    <w:rsid w:val="00942493"/>
    <w:rsid w:val="00942618"/>
    <w:rsid w:val="00956B16"/>
    <w:rsid w:val="00957F82"/>
    <w:rsid w:val="00963F6D"/>
    <w:rsid w:val="0096659C"/>
    <w:rsid w:val="00967AF3"/>
    <w:rsid w:val="00970CD1"/>
    <w:rsid w:val="009729A2"/>
    <w:rsid w:val="00975928"/>
    <w:rsid w:val="0097757B"/>
    <w:rsid w:val="00985548"/>
    <w:rsid w:val="009855BC"/>
    <w:rsid w:val="00986847"/>
    <w:rsid w:val="00991C05"/>
    <w:rsid w:val="00996D2B"/>
    <w:rsid w:val="009A284C"/>
    <w:rsid w:val="009A36FD"/>
    <w:rsid w:val="009A44BA"/>
    <w:rsid w:val="009A4842"/>
    <w:rsid w:val="009B1640"/>
    <w:rsid w:val="009B1DC5"/>
    <w:rsid w:val="009B3343"/>
    <w:rsid w:val="009B57D1"/>
    <w:rsid w:val="009B5913"/>
    <w:rsid w:val="009C3ED3"/>
    <w:rsid w:val="009D3164"/>
    <w:rsid w:val="009D3FE7"/>
    <w:rsid w:val="009D4576"/>
    <w:rsid w:val="009D6CF8"/>
    <w:rsid w:val="009E0A45"/>
    <w:rsid w:val="009E39A0"/>
    <w:rsid w:val="009E424D"/>
    <w:rsid w:val="009E457F"/>
    <w:rsid w:val="009E58E9"/>
    <w:rsid w:val="009F16F5"/>
    <w:rsid w:val="009F268C"/>
    <w:rsid w:val="009F3974"/>
    <w:rsid w:val="009F4F2F"/>
    <w:rsid w:val="009F59F8"/>
    <w:rsid w:val="009F63FE"/>
    <w:rsid w:val="009F7B83"/>
    <w:rsid w:val="00A01BB8"/>
    <w:rsid w:val="00A028BB"/>
    <w:rsid w:val="00A10199"/>
    <w:rsid w:val="00A1735F"/>
    <w:rsid w:val="00A2176F"/>
    <w:rsid w:val="00A25C92"/>
    <w:rsid w:val="00A27D0C"/>
    <w:rsid w:val="00A30CB3"/>
    <w:rsid w:val="00A34797"/>
    <w:rsid w:val="00A34B03"/>
    <w:rsid w:val="00A3589E"/>
    <w:rsid w:val="00A45DB3"/>
    <w:rsid w:val="00A477F6"/>
    <w:rsid w:val="00A47E23"/>
    <w:rsid w:val="00A56133"/>
    <w:rsid w:val="00A621BC"/>
    <w:rsid w:val="00A659F5"/>
    <w:rsid w:val="00A71406"/>
    <w:rsid w:val="00A72DAA"/>
    <w:rsid w:val="00A73E97"/>
    <w:rsid w:val="00A74D32"/>
    <w:rsid w:val="00A76786"/>
    <w:rsid w:val="00A76C89"/>
    <w:rsid w:val="00A77B50"/>
    <w:rsid w:val="00A77FC2"/>
    <w:rsid w:val="00A812DC"/>
    <w:rsid w:val="00A86182"/>
    <w:rsid w:val="00A87455"/>
    <w:rsid w:val="00A947E1"/>
    <w:rsid w:val="00A94D3E"/>
    <w:rsid w:val="00A95258"/>
    <w:rsid w:val="00A95E2D"/>
    <w:rsid w:val="00AA1B4D"/>
    <w:rsid w:val="00AA1B9A"/>
    <w:rsid w:val="00AA2661"/>
    <w:rsid w:val="00AA2A9B"/>
    <w:rsid w:val="00AA7C8C"/>
    <w:rsid w:val="00AB1B15"/>
    <w:rsid w:val="00AB1C1F"/>
    <w:rsid w:val="00AB2EC4"/>
    <w:rsid w:val="00AB4F7A"/>
    <w:rsid w:val="00AB61CC"/>
    <w:rsid w:val="00AB786B"/>
    <w:rsid w:val="00AC2B61"/>
    <w:rsid w:val="00AC4099"/>
    <w:rsid w:val="00AC6599"/>
    <w:rsid w:val="00AD156D"/>
    <w:rsid w:val="00AD45B0"/>
    <w:rsid w:val="00AD69A3"/>
    <w:rsid w:val="00AE2A52"/>
    <w:rsid w:val="00AE3A5E"/>
    <w:rsid w:val="00AE3CA7"/>
    <w:rsid w:val="00AE5CF4"/>
    <w:rsid w:val="00AE669C"/>
    <w:rsid w:val="00AF12B7"/>
    <w:rsid w:val="00AF3C63"/>
    <w:rsid w:val="00AF63F0"/>
    <w:rsid w:val="00AF65C7"/>
    <w:rsid w:val="00B00A83"/>
    <w:rsid w:val="00B07ACF"/>
    <w:rsid w:val="00B12CC2"/>
    <w:rsid w:val="00B13ECA"/>
    <w:rsid w:val="00B14157"/>
    <w:rsid w:val="00B142FF"/>
    <w:rsid w:val="00B14B76"/>
    <w:rsid w:val="00B15375"/>
    <w:rsid w:val="00B21F57"/>
    <w:rsid w:val="00B2281F"/>
    <w:rsid w:val="00B245EC"/>
    <w:rsid w:val="00B24C50"/>
    <w:rsid w:val="00B314D0"/>
    <w:rsid w:val="00B33065"/>
    <w:rsid w:val="00B34857"/>
    <w:rsid w:val="00B356F1"/>
    <w:rsid w:val="00B360B8"/>
    <w:rsid w:val="00B370D6"/>
    <w:rsid w:val="00B41173"/>
    <w:rsid w:val="00B41DAB"/>
    <w:rsid w:val="00B4247E"/>
    <w:rsid w:val="00B4331D"/>
    <w:rsid w:val="00B45DC9"/>
    <w:rsid w:val="00B4615E"/>
    <w:rsid w:val="00B467DC"/>
    <w:rsid w:val="00B46B26"/>
    <w:rsid w:val="00B47351"/>
    <w:rsid w:val="00B473B7"/>
    <w:rsid w:val="00B51517"/>
    <w:rsid w:val="00B5200F"/>
    <w:rsid w:val="00B54CB8"/>
    <w:rsid w:val="00B60DFD"/>
    <w:rsid w:val="00B623AE"/>
    <w:rsid w:val="00B64309"/>
    <w:rsid w:val="00B64D50"/>
    <w:rsid w:val="00B66CCB"/>
    <w:rsid w:val="00B72EC4"/>
    <w:rsid w:val="00B73F23"/>
    <w:rsid w:val="00B7677D"/>
    <w:rsid w:val="00B77235"/>
    <w:rsid w:val="00B820C5"/>
    <w:rsid w:val="00B84BB5"/>
    <w:rsid w:val="00B909E7"/>
    <w:rsid w:val="00B91F89"/>
    <w:rsid w:val="00B93157"/>
    <w:rsid w:val="00B9502B"/>
    <w:rsid w:val="00BA237A"/>
    <w:rsid w:val="00BA2D9F"/>
    <w:rsid w:val="00BA4A49"/>
    <w:rsid w:val="00BA5F68"/>
    <w:rsid w:val="00BA61F9"/>
    <w:rsid w:val="00BA7F2C"/>
    <w:rsid w:val="00BB0779"/>
    <w:rsid w:val="00BC36DD"/>
    <w:rsid w:val="00BC472C"/>
    <w:rsid w:val="00BC4AE1"/>
    <w:rsid w:val="00BC5DD1"/>
    <w:rsid w:val="00BC6D8E"/>
    <w:rsid w:val="00BC758B"/>
    <w:rsid w:val="00BC7C39"/>
    <w:rsid w:val="00BD1EB5"/>
    <w:rsid w:val="00BD2734"/>
    <w:rsid w:val="00BD3385"/>
    <w:rsid w:val="00BD3446"/>
    <w:rsid w:val="00BD3F71"/>
    <w:rsid w:val="00BD3FB1"/>
    <w:rsid w:val="00BD4C40"/>
    <w:rsid w:val="00BE0080"/>
    <w:rsid w:val="00BE0526"/>
    <w:rsid w:val="00BE4DF1"/>
    <w:rsid w:val="00BE6309"/>
    <w:rsid w:val="00BE779B"/>
    <w:rsid w:val="00BF79E4"/>
    <w:rsid w:val="00C03289"/>
    <w:rsid w:val="00C06B44"/>
    <w:rsid w:val="00C122CB"/>
    <w:rsid w:val="00C1280D"/>
    <w:rsid w:val="00C12CA8"/>
    <w:rsid w:val="00C12E88"/>
    <w:rsid w:val="00C14E0D"/>
    <w:rsid w:val="00C153CC"/>
    <w:rsid w:val="00C157DE"/>
    <w:rsid w:val="00C265CC"/>
    <w:rsid w:val="00C318AC"/>
    <w:rsid w:val="00C31F6A"/>
    <w:rsid w:val="00C32C85"/>
    <w:rsid w:val="00C34DC8"/>
    <w:rsid w:val="00C35E7B"/>
    <w:rsid w:val="00C3646D"/>
    <w:rsid w:val="00C36F33"/>
    <w:rsid w:val="00C370EA"/>
    <w:rsid w:val="00C379DC"/>
    <w:rsid w:val="00C37CA3"/>
    <w:rsid w:val="00C407CD"/>
    <w:rsid w:val="00C40AA0"/>
    <w:rsid w:val="00C41ACB"/>
    <w:rsid w:val="00C41DA5"/>
    <w:rsid w:val="00C42AAF"/>
    <w:rsid w:val="00C46495"/>
    <w:rsid w:val="00C47CDA"/>
    <w:rsid w:val="00C554BC"/>
    <w:rsid w:val="00C562CD"/>
    <w:rsid w:val="00C600DD"/>
    <w:rsid w:val="00C63E60"/>
    <w:rsid w:val="00C64D68"/>
    <w:rsid w:val="00C6782C"/>
    <w:rsid w:val="00C7737D"/>
    <w:rsid w:val="00C7787E"/>
    <w:rsid w:val="00C830D6"/>
    <w:rsid w:val="00C93B1B"/>
    <w:rsid w:val="00C940AD"/>
    <w:rsid w:val="00C94FDB"/>
    <w:rsid w:val="00C966F6"/>
    <w:rsid w:val="00C96D3C"/>
    <w:rsid w:val="00CB1359"/>
    <w:rsid w:val="00CB1EE2"/>
    <w:rsid w:val="00CB23D4"/>
    <w:rsid w:val="00CB3972"/>
    <w:rsid w:val="00CC04DD"/>
    <w:rsid w:val="00CC1357"/>
    <w:rsid w:val="00CC3AB8"/>
    <w:rsid w:val="00CC3BF4"/>
    <w:rsid w:val="00CC6FBE"/>
    <w:rsid w:val="00CC7EEF"/>
    <w:rsid w:val="00CD0F07"/>
    <w:rsid w:val="00CD5A3B"/>
    <w:rsid w:val="00CD7446"/>
    <w:rsid w:val="00CE0B53"/>
    <w:rsid w:val="00CE2A07"/>
    <w:rsid w:val="00CE7680"/>
    <w:rsid w:val="00CF13FE"/>
    <w:rsid w:val="00CF1B28"/>
    <w:rsid w:val="00D04019"/>
    <w:rsid w:val="00D041B5"/>
    <w:rsid w:val="00D0472D"/>
    <w:rsid w:val="00D051E5"/>
    <w:rsid w:val="00D07449"/>
    <w:rsid w:val="00D077FB"/>
    <w:rsid w:val="00D1546C"/>
    <w:rsid w:val="00D15DF0"/>
    <w:rsid w:val="00D174E6"/>
    <w:rsid w:val="00D2014D"/>
    <w:rsid w:val="00D21B8B"/>
    <w:rsid w:val="00D2251B"/>
    <w:rsid w:val="00D22CBF"/>
    <w:rsid w:val="00D305C1"/>
    <w:rsid w:val="00D32887"/>
    <w:rsid w:val="00D335C6"/>
    <w:rsid w:val="00D36401"/>
    <w:rsid w:val="00D36E10"/>
    <w:rsid w:val="00D377EF"/>
    <w:rsid w:val="00D42F31"/>
    <w:rsid w:val="00D435ED"/>
    <w:rsid w:val="00D45544"/>
    <w:rsid w:val="00D45F43"/>
    <w:rsid w:val="00D46DD7"/>
    <w:rsid w:val="00D47208"/>
    <w:rsid w:val="00D505DC"/>
    <w:rsid w:val="00D506FC"/>
    <w:rsid w:val="00D515D8"/>
    <w:rsid w:val="00D533F0"/>
    <w:rsid w:val="00D54B3A"/>
    <w:rsid w:val="00D57190"/>
    <w:rsid w:val="00D576E5"/>
    <w:rsid w:val="00D62D39"/>
    <w:rsid w:val="00D62D95"/>
    <w:rsid w:val="00D634FA"/>
    <w:rsid w:val="00D64095"/>
    <w:rsid w:val="00D65A40"/>
    <w:rsid w:val="00D70609"/>
    <w:rsid w:val="00D70F91"/>
    <w:rsid w:val="00D75048"/>
    <w:rsid w:val="00D765E1"/>
    <w:rsid w:val="00D81C24"/>
    <w:rsid w:val="00D82396"/>
    <w:rsid w:val="00D82527"/>
    <w:rsid w:val="00D860BA"/>
    <w:rsid w:val="00D862E0"/>
    <w:rsid w:val="00D9044F"/>
    <w:rsid w:val="00DA0A74"/>
    <w:rsid w:val="00DA15FA"/>
    <w:rsid w:val="00DA579E"/>
    <w:rsid w:val="00DA7728"/>
    <w:rsid w:val="00DB2B12"/>
    <w:rsid w:val="00DB4438"/>
    <w:rsid w:val="00DB4F9B"/>
    <w:rsid w:val="00DC2949"/>
    <w:rsid w:val="00DC40BD"/>
    <w:rsid w:val="00DC41C3"/>
    <w:rsid w:val="00DC77F0"/>
    <w:rsid w:val="00DD2BAB"/>
    <w:rsid w:val="00DD512B"/>
    <w:rsid w:val="00DD5AAC"/>
    <w:rsid w:val="00DD6C89"/>
    <w:rsid w:val="00DE7F88"/>
    <w:rsid w:val="00DF36C9"/>
    <w:rsid w:val="00DF4670"/>
    <w:rsid w:val="00DF5123"/>
    <w:rsid w:val="00E004E8"/>
    <w:rsid w:val="00E00972"/>
    <w:rsid w:val="00E03837"/>
    <w:rsid w:val="00E04022"/>
    <w:rsid w:val="00E0739C"/>
    <w:rsid w:val="00E10672"/>
    <w:rsid w:val="00E11ADB"/>
    <w:rsid w:val="00E2041B"/>
    <w:rsid w:val="00E2173B"/>
    <w:rsid w:val="00E222E1"/>
    <w:rsid w:val="00E22924"/>
    <w:rsid w:val="00E25EA6"/>
    <w:rsid w:val="00E26CED"/>
    <w:rsid w:val="00E31B1E"/>
    <w:rsid w:val="00E33E9F"/>
    <w:rsid w:val="00E40C32"/>
    <w:rsid w:val="00E424C2"/>
    <w:rsid w:val="00E42F31"/>
    <w:rsid w:val="00E45571"/>
    <w:rsid w:val="00E46BE4"/>
    <w:rsid w:val="00E50180"/>
    <w:rsid w:val="00E50AA7"/>
    <w:rsid w:val="00E540F0"/>
    <w:rsid w:val="00E65931"/>
    <w:rsid w:val="00E660F5"/>
    <w:rsid w:val="00E66AF2"/>
    <w:rsid w:val="00E81BB6"/>
    <w:rsid w:val="00E85387"/>
    <w:rsid w:val="00E86CCB"/>
    <w:rsid w:val="00E87995"/>
    <w:rsid w:val="00E912AC"/>
    <w:rsid w:val="00E935A8"/>
    <w:rsid w:val="00E94AEE"/>
    <w:rsid w:val="00E96935"/>
    <w:rsid w:val="00EA1590"/>
    <w:rsid w:val="00EA5EE1"/>
    <w:rsid w:val="00EA6283"/>
    <w:rsid w:val="00EB0D56"/>
    <w:rsid w:val="00EB281A"/>
    <w:rsid w:val="00EB34B8"/>
    <w:rsid w:val="00EB55E4"/>
    <w:rsid w:val="00EC0497"/>
    <w:rsid w:val="00EC0563"/>
    <w:rsid w:val="00EC12F5"/>
    <w:rsid w:val="00EC2651"/>
    <w:rsid w:val="00EC6173"/>
    <w:rsid w:val="00EE02E7"/>
    <w:rsid w:val="00EE16E4"/>
    <w:rsid w:val="00EE2628"/>
    <w:rsid w:val="00EE5098"/>
    <w:rsid w:val="00EE5600"/>
    <w:rsid w:val="00EE7307"/>
    <w:rsid w:val="00EF0FCB"/>
    <w:rsid w:val="00EF4DB5"/>
    <w:rsid w:val="00EF590E"/>
    <w:rsid w:val="00EF6D55"/>
    <w:rsid w:val="00F02FA9"/>
    <w:rsid w:val="00F04A96"/>
    <w:rsid w:val="00F050A3"/>
    <w:rsid w:val="00F05E52"/>
    <w:rsid w:val="00F07DD0"/>
    <w:rsid w:val="00F10C23"/>
    <w:rsid w:val="00F11E02"/>
    <w:rsid w:val="00F168A8"/>
    <w:rsid w:val="00F17A6C"/>
    <w:rsid w:val="00F21037"/>
    <w:rsid w:val="00F23C5E"/>
    <w:rsid w:val="00F24C02"/>
    <w:rsid w:val="00F2617B"/>
    <w:rsid w:val="00F30EFA"/>
    <w:rsid w:val="00F34F88"/>
    <w:rsid w:val="00F36E31"/>
    <w:rsid w:val="00F36FE8"/>
    <w:rsid w:val="00F41DC8"/>
    <w:rsid w:val="00F41F4B"/>
    <w:rsid w:val="00F455C7"/>
    <w:rsid w:val="00F45674"/>
    <w:rsid w:val="00F462CC"/>
    <w:rsid w:val="00F51680"/>
    <w:rsid w:val="00F5663F"/>
    <w:rsid w:val="00F643F0"/>
    <w:rsid w:val="00F649E4"/>
    <w:rsid w:val="00F65F35"/>
    <w:rsid w:val="00F675B0"/>
    <w:rsid w:val="00F71AD3"/>
    <w:rsid w:val="00F72DAC"/>
    <w:rsid w:val="00F7405B"/>
    <w:rsid w:val="00F76C13"/>
    <w:rsid w:val="00F76DA1"/>
    <w:rsid w:val="00F7779A"/>
    <w:rsid w:val="00F82475"/>
    <w:rsid w:val="00F85700"/>
    <w:rsid w:val="00F8707B"/>
    <w:rsid w:val="00F901C5"/>
    <w:rsid w:val="00F910AA"/>
    <w:rsid w:val="00F91341"/>
    <w:rsid w:val="00F928DF"/>
    <w:rsid w:val="00F96E32"/>
    <w:rsid w:val="00FA05D7"/>
    <w:rsid w:val="00FA1344"/>
    <w:rsid w:val="00FA1715"/>
    <w:rsid w:val="00FA200F"/>
    <w:rsid w:val="00FA358F"/>
    <w:rsid w:val="00FA3AAA"/>
    <w:rsid w:val="00FA6BC9"/>
    <w:rsid w:val="00FA6F58"/>
    <w:rsid w:val="00FA7C63"/>
    <w:rsid w:val="00FB0493"/>
    <w:rsid w:val="00FB1541"/>
    <w:rsid w:val="00FB1843"/>
    <w:rsid w:val="00FB2836"/>
    <w:rsid w:val="00FB3344"/>
    <w:rsid w:val="00FB4AA2"/>
    <w:rsid w:val="00FB6EAC"/>
    <w:rsid w:val="00FC0D3B"/>
    <w:rsid w:val="00FC33C5"/>
    <w:rsid w:val="00FC5EE2"/>
    <w:rsid w:val="00FC719C"/>
    <w:rsid w:val="00FD4E87"/>
    <w:rsid w:val="00FD555C"/>
    <w:rsid w:val="00FE3A5F"/>
    <w:rsid w:val="00FE54F5"/>
    <w:rsid w:val="00FE7F9E"/>
    <w:rsid w:val="00FF124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D0F1A1"/>
  <w15:docId w15:val="{0EB22711-A253-4F47-A7F9-B36D6BE77B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84C34"/>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A6749"/>
    <w:pPr>
      <w:tabs>
        <w:tab w:val="center" w:pos="4153"/>
        <w:tab w:val="right" w:pos="8306"/>
      </w:tabs>
      <w:snapToGrid w:val="0"/>
    </w:pPr>
    <w:rPr>
      <w:sz w:val="20"/>
      <w:szCs w:val="20"/>
    </w:rPr>
  </w:style>
  <w:style w:type="character" w:customStyle="1" w:styleId="a4">
    <w:name w:val="頁首 字元"/>
    <w:basedOn w:val="a0"/>
    <w:link w:val="a3"/>
    <w:uiPriority w:val="99"/>
    <w:rsid w:val="006A6749"/>
    <w:rPr>
      <w:sz w:val="20"/>
      <w:szCs w:val="20"/>
    </w:rPr>
  </w:style>
  <w:style w:type="paragraph" w:styleId="a5">
    <w:name w:val="footer"/>
    <w:basedOn w:val="a"/>
    <w:link w:val="a6"/>
    <w:uiPriority w:val="99"/>
    <w:unhideWhenUsed/>
    <w:rsid w:val="006A6749"/>
    <w:pPr>
      <w:tabs>
        <w:tab w:val="center" w:pos="4153"/>
        <w:tab w:val="right" w:pos="8306"/>
      </w:tabs>
      <w:snapToGrid w:val="0"/>
    </w:pPr>
    <w:rPr>
      <w:sz w:val="20"/>
      <w:szCs w:val="20"/>
    </w:rPr>
  </w:style>
  <w:style w:type="character" w:customStyle="1" w:styleId="a6">
    <w:name w:val="頁尾 字元"/>
    <w:basedOn w:val="a0"/>
    <w:link w:val="a5"/>
    <w:uiPriority w:val="99"/>
    <w:rsid w:val="006A6749"/>
    <w:rPr>
      <w:sz w:val="20"/>
      <w:szCs w:val="20"/>
    </w:rPr>
  </w:style>
  <w:style w:type="table" w:styleId="a7">
    <w:name w:val="Table Grid"/>
    <w:basedOn w:val="a1"/>
    <w:uiPriority w:val="59"/>
    <w:rsid w:val="006A674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6A6749"/>
    <w:pPr>
      <w:widowControl w:val="0"/>
      <w:autoSpaceDE w:val="0"/>
      <w:autoSpaceDN w:val="0"/>
      <w:adjustRightInd w:val="0"/>
    </w:pPr>
    <w:rPr>
      <w:rFonts w:ascii="標楷體" w:eastAsia="標楷體" w:cs="標楷體"/>
      <w:color w:val="000000"/>
      <w:kern w:val="0"/>
      <w:szCs w:val="24"/>
    </w:rPr>
  </w:style>
  <w:style w:type="paragraph" w:styleId="a8">
    <w:name w:val="List Paragraph"/>
    <w:basedOn w:val="a"/>
    <w:uiPriority w:val="34"/>
    <w:qFormat/>
    <w:rsid w:val="00126E83"/>
    <w:pPr>
      <w:ind w:leftChars="200" w:left="480"/>
    </w:pPr>
  </w:style>
  <w:style w:type="character" w:styleId="a9">
    <w:name w:val="Emphasis"/>
    <w:basedOn w:val="a0"/>
    <w:uiPriority w:val="20"/>
    <w:qFormat/>
    <w:rsid w:val="006A284E"/>
    <w:rPr>
      <w:i/>
      <w:iCs/>
    </w:rPr>
  </w:style>
  <w:style w:type="character" w:styleId="aa">
    <w:name w:val="Hyperlink"/>
    <w:basedOn w:val="a0"/>
    <w:uiPriority w:val="99"/>
    <w:semiHidden/>
    <w:unhideWhenUsed/>
    <w:rsid w:val="00BC36DD"/>
    <w:rPr>
      <w:color w:val="0000FF"/>
      <w:u w:val="single"/>
    </w:rPr>
  </w:style>
  <w:style w:type="character" w:styleId="ab">
    <w:name w:val="annotation reference"/>
    <w:basedOn w:val="a0"/>
    <w:uiPriority w:val="99"/>
    <w:semiHidden/>
    <w:unhideWhenUsed/>
    <w:rsid w:val="00735689"/>
    <w:rPr>
      <w:sz w:val="18"/>
      <w:szCs w:val="18"/>
    </w:rPr>
  </w:style>
  <w:style w:type="paragraph" w:styleId="ac">
    <w:name w:val="annotation text"/>
    <w:basedOn w:val="a"/>
    <w:link w:val="ad"/>
    <w:uiPriority w:val="99"/>
    <w:semiHidden/>
    <w:unhideWhenUsed/>
    <w:rsid w:val="00735689"/>
  </w:style>
  <w:style w:type="character" w:customStyle="1" w:styleId="ad">
    <w:name w:val="註解文字 字元"/>
    <w:basedOn w:val="a0"/>
    <w:link w:val="ac"/>
    <w:uiPriority w:val="99"/>
    <w:semiHidden/>
    <w:rsid w:val="00735689"/>
  </w:style>
  <w:style w:type="paragraph" w:styleId="ae">
    <w:name w:val="annotation subject"/>
    <w:basedOn w:val="ac"/>
    <w:next w:val="ac"/>
    <w:link w:val="af"/>
    <w:uiPriority w:val="99"/>
    <w:semiHidden/>
    <w:unhideWhenUsed/>
    <w:rsid w:val="00735689"/>
    <w:rPr>
      <w:b/>
      <w:bCs/>
    </w:rPr>
  </w:style>
  <w:style w:type="character" w:customStyle="1" w:styleId="af">
    <w:name w:val="註解主旨 字元"/>
    <w:basedOn w:val="ad"/>
    <w:link w:val="ae"/>
    <w:uiPriority w:val="99"/>
    <w:semiHidden/>
    <w:rsid w:val="00735689"/>
    <w:rPr>
      <w:b/>
      <w:bCs/>
    </w:rPr>
  </w:style>
  <w:style w:type="paragraph" w:styleId="af0">
    <w:name w:val="Balloon Text"/>
    <w:basedOn w:val="a"/>
    <w:link w:val="af1"/>
    <w:uiPriority w:val="99"/>
    <w:semiHidden/>
    <w:unhideWhenUsed/>
    <w:rsid w:val="00735689"/>
    <w:rPr>
      <w:rFonts w:asciiTheme="majorHAnsi" w:eastAsiaTheme="majorEastAsia" w:hAnsiTheme="majorHAnsi" w:cstheme="majorBidi"/>
      <w:sz w:val="18"/>
      <w:szCs w:val="18"/>
    </w:rPr>
  </w:style>
  <w:style w:type="character" w:customStyle="1" w:styleId="af1">
    <w:name w:val="註解方塊文字 字元"/>
    <w:basedOn w:val="a0"/>
    <w:link w:val="af0"/>
    <w:uiPriority w:val="99"/>
    <w:semiHidden/>
    <w:rsid w:val="00735689"/>
    <w:rPr>
      <w:rFonts w:asciiTheme="majorHAnsi" w:eastAsiaTheme="majorEastAsia" w:hAnsiTheme="majorHAnsi" w:cstheme="majorBidi"/>
      <w:sz w:val="18"/>
      <w:szCs w:val="18"/>
    </w:rPr>
  </w:style>
  <w:style w:type="character" w:styleId="af2">
    <w:name w:val="Strong"/>
    <w:basedOn w:val="a0"/>
    <w:uiPriority w:val="22"/>
    <w:qFormat/>
    <w:rsid w:val="004438E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2691939">
      <w:bodyDiv w:val="1"/>
      <w:marLeft w:val="0"/>
      <w:marRight w:val="0"/>
      <w:marTop w:val="0"/>
      <w:marBottom w:val="0"/>
      <w:divBdr>
        <w:top w:val="none" w:sz="0" w:space="0" w:color="auto"/>
        <w:left w:val="none" w:sz="0" w:space="0" w:color="auto"/>
        <w:bottom w:val="none" w:sz="0" w:space="0" w:color="auto"/>
        <w:right w:val="none" w:sz="0" w:space="0" w:color="auto"/>
      </w:divBdr>
    </w:div>
    <w:div w:id="953756730">
      <w:bodyDiv w:val="1"/>
      <w:marLeft w:val="0"/>
      <w:marRight w:val="0"/>
      <w:marTop w:val="0"/>
      <w:marBottom w:val="0"/>
      <w:divBdr>
        <w:top w:val="none" w:sz="0" w:space="0" w:color="auto"/>
        <w:left w:val="none" w:sz="0" w:space="0" w:color="auto"/>
        <w:bottom w:val="none" w:sz="0" w:space="0" w:color="auto"/>
        <w:right w:val="none" w:sz="0" w:space="0" w:color="auto"/>
      </w:divBdr>
    </w:div>
    <w:div w:id="1324699614">
      <w:bodyDiv w:val="1"/>
      <w:marLeft w:val="0"/>
      <w:marRight w:val="0"/>
      <w:marTop w:val="0"/>
      <w:marBottom w:val="0"/>
      <w:divBdr>
        <w:top w:val="none" w:sz="0" w:space="0" w:color="auto"/>
        <w:left w:val="none" w:sz="0" w:space="0" w:color="auto"/>
        <w:bottom w:val="none" w:sz="0" w:space="0" w:color="auto"/>
        <w:right w:val="none" w:sz="0" w:space="0" w:color="auto"/>
      </w:divBdr>
    </w:div>
    <w:div w:id="14637637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E127C2-BFF8-4EAF-8650-EDD64B6604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5</Pages>
  <Words>1301</Words>
  <Characters>1550</Characters>
  <Application>Microsoft Office Word</Application>
  <DocSecurity>0</DocSecurity>
  <Lines>193</Lines>
  <Paragraphs>67</Paragraphs>
  <ScaleCrop>false</ScaleCrop>
  <Company/>
  <LinksUpToDate>false</LinksUpToDate>
  <CharactersWithSpaces>2784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tuser</dc:creator>
  <cp:lastModifiedBy>劉錦雲</cp:lastModifiedBy>
  <cp:revision>8</cp:revision>
  <cp:lastPrinted>2025-08-01T04:59:00Z</cp:lastPrinted>
  <dcterms:created xsi:type="dcterms:W3CDTF">2026-01-02T02:44:00Z</dcterms:created>
  <dcterms:modified xsi:type="dcterms:W3CDTF">2026-01-02T03:04:00Z</dcterms:modified>
</cp:coreProperties>
</file>